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BF17" w14:textId="5494D773" w:rsidR="0001450E" w:rsidRDefault="009D7BE9">
      <w:r>
        <w:t>Jason Luttrell</w:t>
      </w:r>
    </w:p>
    <w:p w14:paraId="244E8677" w14:textId="7371B4BB" w:rsidR="009D7BE9" w:rsidRDefault="009D7BE9">
      <w:r>
        <w:t>CIS</w:t>
      </w:r>
      <w:r w:rsidR="00870013">
        <w:t>380</w:t>
      </w:r>
    </w:p>
    <w:p w14:paraId="4F160C49" w14:textId="2F0D6771" w:rsidR="009D7BE9" w:rsidRDefault="009D7BE9">
      <w:r>
        <w:t>10/19/25</w:t>
      </w:r>
    </w:p>
    <w:p w14:paraId="0BE54A36" w14:textId="51F74ECE" w:rsidR="00A7094D" w:rsidRDefault="0086072B" w:rsidP="0086072B">
      <w:pPr>
        <w:pStyle w:val="Heading1"/>
      </w:pPr>
      <w:r>
        <w:t>Case Study Reviews</w:t>
      </w:r>
    </w:p>
    <w:p w14:paraId="172F2C58" w14:textId="77777777" w:rsidR="0086072B" w:rsidRPr="0086072B" w:rsidRDefault="0086072B" w:rsidP="0086072B">
      <w:r w:rsidRPr="0086072B">
        <w:t xml:space="preserve">The two case studies in Chapter 23 of </w:t>
      </w:r>
      <w:r w:rsidRPr="0086072B">
        <w:rPr>
          <w:i/>
          <w:iCs/>
        </w:rPr>
        <w:t>The DevOps Handbook</w:t>
      </w:r>
      <w:proofErr w:type="gramStart"/>
      <w:r w:rsidRPr="0086072B">
        <w:t>—“</w:t>
      </w:r>
      <w:proofErr w:type="gramEnd"/>
      <w:r w:rsidRPr="0086072B">
        <w:t xml:space="preserve">Providing Compliance in Regulated Environments” and “Relying on Production Telemetry for ATM Systems”—both show how DevOps principles can </w:t>
      </w:r>
      <w:proofErr w:type="gramStart"/>
      <w:r w:rsidRPr="0086072B">
        <w:t>actually strengthen</w:t>
      </w:r>
      <w:proofErr w:type="gramEnd"/>
      <w:r w:rsidRPr="0086072B">
        <w:t xml:space="preserve"> control, reliability, and safety in environments where many people assume DevOps would be too risky. What stood out to me is that neither example tries to “work around” regulation or operational risk. Instead, both show how automation, visibility, and fast feedback loops allow teams to meet strict requirements while still improving flow and stability.</w:t>
      </w:r>
    </w:p>
    <w:p w14:paraId="07C4DCFA" w14:textId="77777777" w:rsidR="0086072B" w:rsidRPr="0086072B" w:rsidRDefault="0086072B" w:rsidP="0086072B">
      <w:r w:rsidRPr="0086072B">
        <w:t>In the first case study, “Providing Compliance in Regulated Environments,” the authors make it clear that compliance processes in most organizations are slow because they depend on manual reviews, document signoffs, and human-controlled checkpoints. Those steps are usually well-intentioned, but they introduce delays, inconsistency, and mistakes. The case study argues that the better approach is to embed compliance activities directly into the pipeline. When the controls—like traceability, approvals, segregation of duties, and audit evidence—are automated, they become more consistent and more reliable. This creates a system where compliance is not an extra burden but a natural part of the everyday workflow. What I found especially compelling is how automation improves audit readiness. Instead of digging through emails or spreadsheets months later, organizations can generate complete evidence automatically from logs and version-control metadata. The main lesson here is that regulated environments don’t need to choose between speed and safety. If anything, DevOps increases compliance quality by removing the manual variability that regulators worry about.</w:t>
      </w:r>
    </w:p>
    <w:p w14:paraId="265E0E5B" w14:textId="77777777" w:rsidR="0086072B" w:rsidRPr="0086072B" w:rsidRDefault="0086072B" w:rsidP="0086072B">
      <w:r w:rsidRPr="0086072B">
        <w:t xml:space="preserve">The second case study, “Relying on Production Telemetry for ATM Systems,” shows the other half of the equation: observability. ATM networks are distributed, high-stakes systems where real users and real money are involved, which means failures are extremely visible. The authors point out that no amount of pre-production testing can replicate every condition across thousands of devices in different environments. Because of that, the team needed deep production telemetry to understand how their software behaved under real-world load. By instrumenting the system with metrics, logs, and health indicators, they were able to detect trends, identify issues early, and respond before customers experienced outages. Something I appreciated is how this case study connects telemetry </w:t>
      </w:r>
      <w:r w:rsidRPr="0086072B">
        <w:lastRenderedPageBreak/>
        <w:t xml:space="preserve">to confidence. When teams can </w:t>
      </w:r>
      <w:proofErr w:type="gramStart"/>
      <w:r w:rsidRPr="0086072B">
        <w:t>actually see</w:t>
      </w:r>
      <w:proofErr w:type="gramEnd"/>
      <w:r w:rsidRPr="0086072B">
        <w:t xml:space="preserve"> what is happening in production, deployments become less stressful, and recovery from failures becomes faster. This aligns strongly with the DevOps idea that feedback from running systems is one of the most valuable learning mechanisms available.</w:t>
      </w:r>
    </w:p>
    <w:p w14:paraId="015980FE" w14:textId="77777777" w:rsidR="0086072B" w:rsidRPr="0086072B" w:rsidRDefault="0086072B" w:rsidP="0086072B">
      <w:r w:rsidRPr="0086072B">
        <w:t xml:space="preserve">Looking at both case studies together, the big takeaway is that automation and visibility are not “nice to have” additions—they are the backbone of modern high-performing organizations. DevOps works in regulated environments because automation enforces rules consistently, and it works in mission-critical systems because telemetry provides the insight required to react quickly. Both stories show that DevOps is not about taking shortcuts. It is about building systems where safety, reliability, and speed reinforce each other rather than compete. In environments where risk is high, DevOps practices often make the system </w:t>
      </w:r>
      <w:r w:rsidRPr="0086072B">
        <w:rPr>
          <w:i/>
          <w:iCs/>
        </w:rPr>
        <w:t>more</w:t>
      </w:r>
      <w:r w:rsidRPr="0086072B">
        <w:t xml:space="preserve"> controlled and </w:t>
      </w:r>
      <w:r w:rsidRPr="0086072B">
        <w:rPr>
          <w:i/>
          <w:iCs/>
        </w:rPr>
        <w:t>more</w:t>
      </w:r>
      <w:r w:rsidRPr="0086072B">
        <w:t xml:space="preserve"> reliable than traditional approaches.</w:t>
      </w:r>
    </w:p>
    <w:p w14:paraId="785BB83E" w14:textId="77777777" w:rsidR="0086072B" w:rsidRDefault="0086072B"/>
    <w:sectPr w:rsidR="0086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7C8C"/>
    <w:multiLevelType w:val="multilevel"/>
    <w:tmpl w:val="B728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03223"/>
    <w:multiLevelType w:val="multilevel"/>
    <w:tmpl w:val="71C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C7E73"/>
    <w:multiLevelType w:val="hybridMultilevel"/>
    <w:tmpl w:val="B678C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3009BB"/>
    <w:multiLevelType w:val="hybridMultilevel"/>
    <w:tmpl w:val="D79E4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056690"/>
    <w:multiLevelType w:val="multilevel"/>
    <w:tmpl w:val="E7EE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46ED4"/>
    <w:multiLevelType w:val="multilevel"/>
    <w:tmpl w:val="055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61A46"/>
    <w:multiLevelType w:val="multilevel"/>
    <w:tmpl w:val="45DC9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93FE2"/>
    <w:multiLevelType w:val="multilevel"/>
    <w:tmpl w:val="270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0595E"/>
    <w:multiLevelType w:val="multilevel"/>
    <w:tmpl w:val="5D40E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839F8"/>
    <w:multiLevelType w:val="multilevel"/>
    <w:tmpl w:val="5226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9B14E3"/>
    <w:multiLevelType w:val="multilevel"/>
    <w:tmpl w:val="E6A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62653"/>
    <w:multiLevelType w:val="multilevel"/>
    <w:tmpl w:val="034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B6D69"/>
    <w:multiLevelType w:val="multilevel"/>
    <w:tmpl w:val="31C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064B9"/>
    <w:multiLevelType w:val="multilevel"/>
    <w:tmpl w:val="AC7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751D0"/>
    <w:multiLevelType w:val="multilevel"/>
    <w:tmpl w:val="AD1E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0B0A8D"/>
    <w:multiLevelType w:val="multilevel"/>
    <w:tmpl w:val="EAA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52A98"/>
    <w:multiLevelType w:val="multilevel"/>
    <w:tmpl w:val="8C18F1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21A07"/>
    <w:multiLevelType w:val="multilevel"/>
    <w:tmpl w:val="5C3E4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177588">
    <w:abstractNumId w:val="4"/>
  </w:num>
  <w:num w:numId="2" w16cid:durableId="326439084">
    <w:abstractNumId w:val="1"/>
  </w:num>
  <w:num w:numId="3" w16cid:durableId="470051397">
    <w:abstractNumId w:val="8"/>
  </w:num>
  <w:num w:numId="4" w16cid:durableId="868565042">
    <w:abstractNumId w:val="7"/>
  </w:num>
  <w:num w:numId="5" w16cid:durableId="1809780301">
    <w:abstractNumId w:val="17"/>
  </w:num>
  <w:num w:numId="6" w16cid:durableId="501049565">
    <w:abstractNumId w:val="13"/>
  </w:num>
  <w:num w:numId="7" w16cid:durableId="1012996680">
    <w:abstractNumId w:val="5"/>
  </w:num>
  <w:num w:numId="8" w16cid:durableId="2069838880">
    <w:abstractNumId w:val="14"/>
  </w:num>
  <w:num w:numId="9" w16cid:durableId="7215465">
    <w:abstractNumId w:val="11"/>
  </w:num>
  <w:num w:numId="10" w16cid:durableId="1783302103">
    <w:abstractNumId w:val="16"/>
  </w:num>
  <w:num w:numId="11" w16cid:durableId="539826405">
    <w:abstractNumId w:val="15"/>
  </w:num>
  <w:num w:numId="12" w16cid:durableId="873730941">
    <w:abstractNumId w:val="6"/>
  </w:num>
  <w:num w:numId="13" w16cid:durableId="1221358348">
    <w:abstractNumId w:val="10"/>
  </w:num>
  <w:num w:numId="14" w16cid:durableId="1989092878">
    <w:abstractNumId w:val="12"/>
  </w:num>
  <w:num w:numId="15" w16cid:durableId="747001582">
    <w:abstractNumId w:val="3"/>
  </w:num>
  <w:num w:numId="16" w16cid:durableId="143664390">
    <w:abstractNumId w:val="2"/>
  </w:num>
  <w:num w:numId="17" w16cid:durableId="787354299">
    <w:abstractNumId w:val="0"/>
  </w:num>
  <w:num w:numId="18" w16cid:durableId="16243811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E9"/>
    <w:rsid w:val="0001266D"/>
    <w:rsid w:val="0001450E"/>
    <w:rsid w:val="0004604C"/>
    <w:rsid w:val="00084C2B"/>
    <w:rsid w:val="002966B6"/>
    <w:rsid w:val="003647B3"/>
    <w:rsid w:val="003910EE"/>
    <w:rsid w:val="00522696"/>
    <w:rsid w:val="0059645E"/>
    <w:rsid w:val="0086072B"/>
    <w:rsid w:val="00870013"/>
    <w:rsid w:val="00891699"/>
    <w:rsid w:val="009D7BE9"/>
    <w:rsid w:val="00A437FE"/>
    <w:rsid w:val="00A7094D"/>
    <w:rsid w:val="00B35A3A"/>
    <w:rsid w:val="00E1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A42F"/>
  <w15:chartTrackingRefBased/>
  <w15:docId w15:val="{43B52E6C-084D-4376-AA3A-C6C3C778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BE9"/>
    <w:rPr>
      <w:rFonts w:eastAsiaTheme="majorEastAsia" w:cstheme="majorBidi"/>
      <w:color w:val="272727" w:themeColor="text1" w:themeTint="D8"/>
    </w:rPr>
  </w:style>
  <w:style w:type="paragraph" w:styleId="Title">
    <w:name w:val="Title"/>
    <w:basedOn w:val="Normal"/>
    <w:next w:val="Normal"/>
    <w:link w:val="TitleChar"/>
    <w:uiPriority w:val="10"/>
    <w:qFormat/>
    <w:rsid w:val="009D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BE9"/>
    <w:pPr>
      <w:spacing w:before="160"/>
      <w:jc w:val="center"/>
    </w:pPr>
    <w:rPr>
      <w:i/>
      <w:iCs/>
      <w:color w:val="404040" w:themeColor="text1" w:themeTint="BF"/>
    </w:rPr>
  </w:style>
  <w:style w:type="character" w:customStyle="1" w:styleId="QuoteChar">
    <w:name w:val="Quote Char"/>
    <w:basedOn w:val="DefaultParagraphFont"/>
    <w:link w:val="Quote"/>
    <w:uiPriority w:val="29"/>
    <w:rsid w:val="009D7BE9"/>
    <w:rPr>
      <w:i/>
      <w:iCs/>
      <w:color w:val="404040" w:themeColor="text1" w:themeTint="BF"/>
    </w:rPr>
  </w:style>
  <w:style w:type="paragraph" w:styleId="ListParagraph">
    <w:name w:val="List Paragraph"/>
    <w:basedOn w:val="Normal"/>
    <w:uiPriority w:val="34"/>
    <w:qFormat/>
    <w:rsid w:val="009D7BE9"/>
    <w:pPr>
      <w:ind w:left="720"/>
      <w:contextualSpacing/>
    </w:pPr>
  </w:style>
  <w:style w:type="character" w:styleId="IntenseEmphasis">
    <w:name w:val="Intense Emphasis"/>
    <w:basedOn w:val="DefaultParagraphFont"/>
    <w:uiPriority w:val="21"/>
    <w:qFormat/>
    <w:rsid w:val="009D7BE9"/>
    <w:rPr>
      <w:i/>
      <w:iCs/>
      <w:color w:val="0F4761" w:themeColor="accent1" w:themeShade="BF"/>
    </w:rPr>
  </w:style>
  <w:style w:type="paragraph" w:styleId="IntenseQuote">
    <w:name w:val="Intense Quote"/>
    <w:basedOn w:val="Normal"/>
    <w:next w:val="Normal"/>
    <w:link w:val="IntenseQuoteChar"/>
    <w:uiPriority w:val="30"/>
    <w:qFormat/>
    <w:rsid w:val="009D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BE9"/>
    <w:rPr>
      <w:i/>
      <w:iCs/>
      <w:color w:val="0F4761" w:themeColor="accent1" w:themeShade="BF"/>
    </w:rPr>
  </w:style>
  <w:style w:type="character" w:styleId="IntenseReference">
    <w:name w:val="Intense Reference"/>
    <w:basedOn w:val="DefaultParagraphFont"/>
    <w:uiPriority w:val="32"/>
    <w:qFormat/>
    <w:rsid w:val="009D7BE9"/>
    <w:rPr>
      <w:b/>
      <w:bCs/>
      <w:smallCaps/>
      <w:color w:val="0F4761" w:themeColor="accent1" w:themeShade="BF"/>
      <w:spacing w:val="5"/>
    </w:rPr>
  </w:style>
  <w:style w:type="character" w:styleId="Strong">
    <w:name w:val="Strong"/>
    <w:basedOn w:val="DefaultParagraphFont"/>
    <w:uiPriority w:val="22"/>
    <w:qFormat/>
    <w:rsid w:val="00B35A3A"/>
    <w:rPr>
      <w:b/>
      <w:bCs/>
    </w:rPr>
  </w:style>
  <w:style w:type="paragraph" w:styleId="NormalWeb">
    <w:name w:val="Normal (Web)"/>
    <w:basedOn w:val="Normal"/>
    <w:uiPriority w:val="99"/>
    <w:semiHidden/>
    <w:unhideWhenUsed/>
    <w:rsid w:val="00B35A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5A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546</Words>
  <Characters>3004</Characters>
  <Application>Microsoft Office Word</Application>
  <DocSecurity>0</DocSecurity>
  <Lines>51</Lines>
  <Paragraphs>18</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Luttrell</dc:creator>
  <cp:keywords/>
  <dc:description/>
  <cp:lastModifiedBy>Jason Luttrell</cp:lastModifiedBy>
  <cp:revision>2</cp:revision>
  <dcterms:created xsi:type="dcterms:W3CDTF">2025-11-23T22:36:00Z</dcterms:created>
  <dcterms:modified xsi:type="dcterms:W3CDTF">2025-11-23T22:36:00Z</dcterms:modified>
</cp:coreProperties>
</file>