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r>
        <w:rPr>
          <w:rFonts w:ascii="Times New Roman" w:hAnsi="Times New Roman"/>
          <w:sz w:val="24"/>
        </w:rPr>
        <w:t>Highlights</w:t>
      </w:r>
    </w:p>
    <w:p>
      <w:r>
        <w:rPr>
          <w:rFonts w:ascii="Times New Roman" w:hAnsi="Times New Roman"/>
          <w:sz w:val="24"/>
        </w:rPr>
        <w:t>• A comparative machine learning framework was developed for diabetes prediction using clinical features.</w:t>
      </w:r>
    </w:p>
    <w:p>
      <w:r>
        <w:rPr>
          <w:rFonts w:ascii="Times New Roman" w:hAnsi="Times New Roman"/>
          <w:sz w:val="24"/>
        </w:rPr>
        <w:t>• Five classification algorithms, including Logistic Regression, Random Forest, optimized Random Forest, XGBoost, and optimized XGBoost, were evaluated.</w:t>
      </w:r>
    </w:p>
    <w:p>
      <w:r>
        <w:rPr>
          <w:rFonts w:ascii="Times New Roman" w:hAnsi="Times New Roman"/>
          <w:sz w:val="24"/>
        </w:rPr>
        <w:t>• Optimized Random Forest achieved the highest test accuracy (76.62%) among the evaluated models.</w:t>
      </w:r>
    </w:p>
    <w:p>
      <w:r>
        <w:rPr>
          <w:rFonts w:ascii="Times New Roman" w:hAnsi="Times New Roman"/>
          <w:sz w:val="24"/>
        </w:rPr>
        <w:t>• SHAP-based explainable AI analysis identified glucose, BMI, and age as the most influential predictors.</w:t>
      </w:r>
    </w:p>
    <w:p>
      <w:r>
        <w:rPr>
          <w:rFonts w:ascii="Times New Roman" w:hAnsi="Times New Roman"/>
          <w:sz w:val="24"/>
        </w:rPr>
        <w:t>• The integration of machine learning and explainable AI improved transparency of diabetes risk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