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F497D"/>
          <w:sz w:val="56"/>
        </w:rPr>
        <w:t>DECA Manager</w:t>
      </w:r>
    </w:p>
    <w:p>
      <w:pPr>
        <w:jc w:val="center"/>
      </w:pPr>
      <w:r>
        <w:rPr>
          <w:color w:val="2E75B6"/>
          <w:sz w:val="28"/>
        </w:rPr>
        <w:t>Guide utilisateur — Attribution des services DECA</w:t>
      </w:r>
    </w:p>
    <w:p>
      <w:pPr>
        <w:jc w:val="center"/>
      </w:pPr>
      <w:r>
        <w:rPr>
          <w:color w:val="404040"/>
          <w:sz w:val="22"/>
        </w:rPr>
        <w:t>PSO Tooling · SAESB Brussels</w:t>
      </w:r>
    </w:p>
    <w:p/>
    <w:p>
      <w:pPr>
        <w:pBdr>
          <w:bottom w:val="single" w:sz="6" w:space="1" w:color="2E75B6"/>
        </w:pBdr>
        <w:spacing w:after="160"/>
      </w:pPr>
    </w:p>
    <w:p>
      <w:pPr>
        <w:pStyle w:val="Heading1"/>
        <w:spacing w:before="280" w:after="80"/>
      </w:pPr>
      <w:r>
        <w:rPr>
          <w:b/>
          <w:color w:val="1F497D"/>
        </w:rPr>
        <w:t>1. Présentation</w:t>
      </w:r>
    </w:p>
    <w:p>
      <w:pPr>
        <w:spacing w:after="60"/>
      </w:pPr>
      <w:r>
        <w:rPr>
          <w:b w:val="0"/>
          <w:i w:val="0"/>
          <w:sz w:val="22"/>
        </w:rPr>
        <w:t>DECA Manager est l'outil d'attribution des services pour les outillages DECA. Il fonctionne en autonomie (pas de connexion internet requise) et partage sa base de données avec le tableau de bord Streamlit (lecture seule côté dashboard).</w:t>
      </w:r>
    </w:p>
    <w:p/>
    <w:p>
      <w:pPr>
        <w:spacing w:after="60"/>
      </w:pPr>
      <w:r>
        <w:rPr>
          <w:b/>
          <w:i w:val="0"/>
          <w:sz w:val="22"/>
        </w:rPr>
        <w:t>Deux outils coexistent dans le même dossier :</w:t>
      </w:r>
    </w:p>
    <w:p>
      <w:pPr>
        <w:pStyle w:val="ListBullet"/>
        <w:spacing w:after="40"/>
      </w:pPr>
      <w:r>
        <w:t>DECA Manager  (lancer_manager.bat)  —  attribution des services, export</w:t>
      </w:r>
    </w:p>
    <w:p>
      <w:pPr>
        <w:pStyle w:val="ListBullet"/>
        <w:spacing w:after="40"/>
      </w:pPr>
      <w:r>
        <w:t>DECA Master Dashboard  (lancer_DECA_Master.bat)  —  suivi et visualisation</w:t>
      </w:r>
    </w:p>
    <w:p/>
    <w:p>
      <w:pPr>
        <w:pStyle w:val="Heading1"/>
        <w:spacing w:before="280" w:after="80"/>
      </w:pPr>
      <w:r>
        <w:rPr>
          <w:b/>
          <w:color w:val="1F497D"/>
        </w:rPr>
        <w:t>2. Premier lancement</w:t>
      </w:r>
    </w:p>
    <w:p>
      <w:pPr>
        <w:spacing w:after="60"/>
      </w:pPr>
      <w:r>
        <w:rPr>
          <w:b/>
          <w:i w:val="0"/>
          <w:sz w:val="22"/>
        </w:rPr>
        <w:t>Pré-requis : Python 3.10 ou supérieur installé sur la machine.</w:t>
      </w:r>
    </w:p>
    <w:p/>
    <w:p>
      <w:pPr>
        <w:spacing w:after="60"/>
      </w:pPr>
      <w:r>
        <w:rPr>
          <w:b w:val="0"/>
          <w:i w:val="0"/>
          <w:sz w:val="22"/>
        </w:rPr>
        <w:t>Étapes :</w:t>
      </w:r>
    </w:p>
    <w:p>
      <w:pPr>
        <w:pStyle w:val="ListBullet"/>
        <w:spacing w:after="40"/>
      </w:pPr>
      <w:r>
        <w:t>Double-cliquer sur  lancer_manager.bat  dans le dossier du projet.</w:t>
      </w:r>
    </w:p>
    <w:p>
      <w:pPr>
        <w:pStyle w:val="ListBullet"/>
        <w:spacing w:after="40"/>
      </w:pPr>
      <w:r>
        <w:t>Au premier lancement, l'installeur vérifie et installe automatiquement les dépendances (PyQt6, pandas, openpyxl, streamlit). Cette étape peut prendre 1 à 2 minutes.</w:t>
      </w:r>
    </w:p>
    <w:p>
      <w:pPr>
        <w:pStyle w:val="ListBullet"/>
        <w:spacing w:after="40"/>
      </w:pPr>
      <w:r>
        <w:t>L'application s'ouvre dans une nouvelle fenêtre.</w:t>
      </w:r>
    </w:p>
    <w:p>
      <w:pPr>
        <w:spacing w:after="80"/>
        <w:ind w:left="283"/>
      </w:pPr>
      <w:r>
        <w:rPr>
          <w:i/>
          <w:color w:val="555555"/>
          <w:sz w:val="20"/>
        </w:rPr>
        <w:t>💡  Si Python n'est pas trouvé, un message d'erreur indique la marche à suivre. Contacter l'administrateur si nécessaire.</w:t>
      </w:r>
    </w:p>
    <w:p/>
    <w:p>
      <w:pPr>
        <w:pStyle w:val="Heading1"/>
        <w:spacing w:before="280" w:after="80"/>
      </w:pPr>
      <w:r>
        <w:rPr>
          <w:b/>
          <w:color w:val="1F497D"/>
        </w:rPr>
        <w:t>3. Interface principale</w:t>
      </w:r>
    </w:p>
    <w:p>
      <w:pPr>
        <w:pStyle w:val="Heading2"/>
        <w:spacing w:before="160" w:after="80"/>
      </w:pPr>
      <w:r>
        <w:rPr>
          <w:b/>
          <w:color w:val="2E75B6"/>
        </w:rPr>
        <w:t>3.1  Barre supérieure</w:t>
      </w:r>
    </w:p>
    <w:p>
      <w:pPr>
        <w:spacing w:after="60"/>
      </w:pPr>
      <w:r>
        <w:rPr>
          <w:b w:val="0"/>
          <w:i w:val="0"/>
          <w:sz w:val="22"/>
        </w:rPr>
        <w:t>Contient trois éléments :</w:t>
      </w:r>
    </w:p>
    <w:p>
      <w:pPr>
        <w:pStyle w:val="ListBullet"/>
        <w:spacing w:after="40"/>
      </w:pPr>
      <w:r>
        <w:t>Sélecteur de module  (MM01, SM21, etc.) — change le périmètre de travail</w:t>
      </w:r>
    </w:p>
    <w:p>
      <w:pPr>
        <w:pStyle w:val="ListBullet"/>
        <w:spacing w:after="40"/>
      </w:pPr>
      <w:r>
        <w:t>Compteur  «X / Y PNs traités»  — progression du module en cours</w:t>
      </w:r>
    </w:p>
    <w:p>
      <w:pPr>
        <w:pStyle w:val="ListBullet"/>
        <w:spacing w:after="40"/>
      </w:pPr>
      <w:r>
        <w:t>Boutons export (voir section 6)</w:t>
      </w:r>
    </w:p>
    <w:p>
      <w:pPr>
        <w:pStyle w:val="Heading2"/>
        <w:spacing w:before="160" w:after="80"/>
      </w:pPr>
      <w:r>
        <w:rPr>
          <w:b/>
          <w:color w:val="2E75B6"/>
        </w:rPr>
        <w:t>3.2  Panneau gauche — Liste des PNs</w:t>
      </w:r>
    </w:p>
    <w:p>
      <w:pPr>
        <w:pStyle w:val="ListBullet"/>
        <w:spacing w:after="40"/>
      </w:pPr>
      <w:r>
        <w:t>Chaque ligne représente un Part Number (PN).</w:t>
      </w:r>
    </w:p>
    <w:p>
      <w:pPr>
        <w:pStyle w:val="ListBullet"/>
        <w:spacing w:after="40"/>
      </w:pPr>
      <w:r>
        <w:t>✓  en vert = tous les DECAs du PN sont validés.</w:t>
      </w:r>
    </w:p>
    <w:p>
      <w:pPr>
        <w:pStyle w:val="ListBullet"/>
        <w:spacing w:after="40"/>
      </w:pPr>
      <w:r>
        <w:t>Barre de recherche : taper les premières lettres du PN pour filtrer.</w:t>
      </w:r>
    </w:p>
    <w:p>
      <w:pPr>
        <w:pStyle w:val="ListBullet"/>
        <w:spacing w:after="40"/>
      </w:pPr>
      <w:r>
        <w:t>Filtre «Tous / À traiter / Traités» pour se concentrer sur le travail restant.</w:t>
      </w:r>
    </w:p>
    <w:p>
      <w:pPr>
        <w:pStyle w:val="Heading2"/>
        <w:spacing w:before="160" w:after="80"/>
      </w:pPr>
      <w:r>
        <w:rPr>
          <w:b/>
          <w:color w:val="2E75B6"/>
        </w:rPr>
        <w:t>3.3  Panneau droit — Table DECA</w:t>
      </w:r>
    </w:p>
    <w:p>
      <w:pPr>
        <w:spacing w:after="60"/>
      </w:pPr>
      <w:r>
        <w:rPr>
          <w:b w:val="0"/>
          <w:i w:val="0"/>
          <w:sz w:val="22"/>
        </w:rPr>
        <w:t>Affiche tous les DECAs du PN sélectionné avec leurs informations complètes :</w:t>
      </w:r>
    </w:p>
    <w:p>
      <w:pPr>
        <w:pStyle w:val="ListBullet"/>
        <w:spacing w:after="40"/>
      </w:pPr>
      <w:r>
        <w:t>Marquage, Réf constructeur, Services et Localisations actuels (1 à 5)</w:t>
      </w:r>
    </w:p>
    <w:p>
      <w:pPr>
        <w:pStyle w:val="ListBullet"/>
        <w:spacing w:after="40"/>
      </w:pPr>
      <w:r>
        <w:t>Colonnes Assemblage et Complexité</w:t>
      </w:r>
    </w:p>
    <w:p>
      <w:pPr>
        <w:pStyle w:val="ListBullet"/>
        <w:spacing w:after="40"/>
      </w:pPr>
      <w:r>
        <w:t>N.Service 3 et N.Service 4 : les listes déroulantes à remplir</w:t>
      </w:r>
    </w:p>
    <w:p>
      <w:pPr>
        <w:pStyle w:val="ListBullet"/>
        <w:spacing w:after="40"/>
      </w:pPr>
      <w:r>
        <w:t>Commentaire : champ libre optionnel</w:t>
      </w:r>
    </w:p>
    <w:p>
      <w:pPr>
        <w:pStyle w:val="ListBullet"/>
        <w:spacing w:after="40"/>
      </w:pPr>
      <w:r>
        <w:t>Statut : EN COURS / EN ATTENTE / VALIDÉ</w:t>
      </w:r>
    </w:p>
    <w:p>
      <w:pPr>
        <w:spacing w:after="80"/>
        <w:ind w:left="283"/>
      </w:pPr>
      <w:r>
        <w:rPr>
          <w:i/>
          <w:color w:val="555555"/>
          <w:sz w:val="20"/>
        </w:rPr>
        <w:t>💡  Clic droit sur un en-tête de colonne pour cacher/afficher les colonnes.</w:t>
      </w:r>
    </w:p>
    <w:p>
      <w:pPr>
        <w:spacing w:after="80"/>
        <w:ind w:left="283"/>
      </w:pPr>
      <w:r>
        <w:rPr>
          <w:i/>
          <w:color w:val="555555"/>
          <w:sz w:val="20"/>
        </w:rPr>
        <w:t>💡  Clic sur un en-tête de colonne pour trier par cette colonne.</w:t>
      </w:r>
    </w:p>
    <w:p>
      <w:pPr>
        <w:spacing w:after="80"/>
        <w:ind w:left="283"/>
      </w:pPr>
      <w:r>
        <w:rPr>
          <w:i/>
          <w:color w:val="555555"/>
          <w:sz w:val="20"/>
        </w:rPr>
        <w:t>💡  Double-clic sur une ligne pour ouvrir la fiche outil complète avec photos.</w:t>
      </w:r>
    </w:p>
    <w:p/>
    <w:p>
      <w:pPr>
        <w:pStyle w:val="Heading1"/>
        <w:spacing w:before="280" w:after="80"/>
      </w:pPr>
      <w:r>
        <w:rPr>
          <w:b/>
          <w:color w:val="1F497D"/>
        </w:rPr>
        <w:t>4. Attribuer des services à un PN</w:t>
      </w:r>
    </w:p>
    <w:p>
      <w:pPr>
        <w:spacing w:after="60"/>
      </w:pPr>
      <w:r>
        <w:rPr>
          <w:b/>
          <w:i w:val="0"/>
          <w:sz w:val="22"/>
        </w:rPr>
        <w:t>Flux standard :</w:t>
      </w:r>
    </w:p>
    <w:p>
      <w:pPr>
        <w:pStyle w:val="ListBullet"/>
        <w:spacing w:after="40"/>
      </w:pPr>
      <w:r>
        <w:t>1.  Sélectionner le module dans la barre supérieure.</w:t>
      </w:r>
    </w:p>
    <w:p>
      <w:pPr>
        <w:pStyle w:val="ListBullet"/>
        <w:spacing w:after="40"/>
      </w:pPr>
      <w:r>
        <w:t>2.  Cliquer sur un PN dans la liste de gauche.</w:t>
      </w:r>
    </w:p>
    <w:p>
      <w:pPr>
        <w:pStyle w:val="ListBullet"/>
        <w:spacing w:after="40"/>
      </w:pPr>
      <w:r>
        <w:t>3.  Pour chaque ligne DECA dans la table :</w:t>
      </w:r>
    </w:p>
    <w:p>
      <w:pPr>
        <w:pStyle w:val="ListBullet2"/>
        <w:spacing w:after="40"/>
      </w:pPr>
      <w:r>
        <w:t>Choisir le  N.Service 3  dans la liste déroulante (taper pour filtrer).</w:t>
      </w:r>
    </w:p>
    <w:p>
      <w:pPr>
        <w:pStyle w:val="ListBullet2"/>
        <w:spacing w:after="40"/>
      </w:pPr>
      <w:r>
        <w:t>Le  N.Service 4  se met à jour automatiquement selon le Service 3 choisi.</w:t>
      </w:r>
    </w:p>
    <w:p>
      <w:pPr>
        <w:pStyle w:val="ListBullet2"/>
        <w:spacing w:after="40"/>
      </w:pPr>
      <w:r>
        <w:t>Ajouter un commentaire si nécessaire (optionnel).</w:t>
      </w:r>
    </w:p>
    <w:p>
      <w:pPr>
        <w:pStyle w:val="ListBullet"/>
        <w:spacing w:after="40"/>
      </w:pPr>
      <w:r>
        <w:t>4.  Cliquer sur  ✓ Valider &amp; suivant  — les décisions sont enregistrées et le PN suivant se sélectionne automatiquement.</w:t>
      </w:r>
    </w:p>
    <w:p/>
    <w:p>
      <w:pPr>
        <w:spacing w:after="60"/>
      </w:pPr>
      <w:r>
        <w:rPr>
          <w:b/>
          <w:i w:val="0"/>
          <w:sz w:val="22"/>
        </w:rPr>
        <w:t>Règles importantes :</w:t>
      </w:r>
    </w:p>
    <w:p>
      <w:pPr>
        <w:pStyle w:val="ListBullet"/>
        <w:spacing w:after="40"/>
      </w:pPr>
      <w:r>
        <w:t>N.Service 3 est obligatoire pour valider.</w:t>
      </w:r>
    </w:p>
    <w:p>
      <w:pPr>
        <w:pStyle w:val="ListBullet"/>
        <w:spacing w:after="40"/>
      </w:pPr>
      <w:r>
        <w:t>Une ligne  VALIDÉ  (fond vert) est verrouillée — elle ne peut plus être modifiée.</w:t>
      </w:r>
    </w:p>
    <w:p>
      <w:pPr>
        <w:pStyle w:val="ListBullet"/>
        <w:spacing w:after="40"/>
      </w:pPr>
      <w:r>
        <w:t>Une ligne  EN ATTENTE  reste éditable.</w:t>
      </w:r>
    </w:p>
    <w:p>
      <w:pPr>
        <w:spacing w:after="80"/>
        <w:ind w:left="283"/>
      </w:pPr>
      <w:r>
        <w:rPr>
          <w:i/>
          <w:color w:val="555555"/>
          <w:sz w:val="20"/>
        </w:rPr>
        <w:t>💡  Les listes déroulantes N.Service 3 et 4 sont filtrables : taper quelques lettres pour réduire la liste.</w:t>
      </w:r>
    </w:p>
    <w:p/>
    <w:p>
      <w:pPr>
        <w:pStyle w:val="Heading1"/>
        <w:spacing w:before="280" w:after="80"/>
      </w:pPr>
      <w:r>
        <w:rPr>
          <w:b/>
          <w:color w:val="1F497D"/>
        </w:rPr>
        <w:t>5. Fiche outil</w:t>
      </w:r>
    </w:p>
    <w:p>
      <w:pPr>
        <w:spacing w:after="60"/>
      </w:pPr>
      <w:r>
        <w:rPr>
          <w:b w:val="0"/>
          <w:i w:val="0"/>
          <w:sz w:val="22"/>
        </w:rPr>
        <w:t>Double-cliquer sur une ligne, ou sélectionner une ligne et cliquer sur 📋 Fiche outil, pour ouvrir la fiche détaillée.</w:t>
      </w:r>
    </w:p>
    <w:p/>
    <w:p>
      <w:pPr>
        <w:spacing w:after="60"/>
      </w:pPr>
      <w:r>
        <w:rPr>
          <w:b w:val="0"/>
          <w:i w:val="0"/>
          <w:sz w:val="22"/>
        </w:rPr>
        <w:t>La fiche affiche :</w:t>
      </w:r>
    </w:p>
    <w:p>
      <w:pPr>
        <w:pStyle w:val="ListBullet"/>
        <w:spacing w:after="40"/>
      </w:pPr>
      <w:r>
        <w:t>Identification complète : marquage, référence, état, famille, constructeur, N° série</w:t>
      </w:r>
    </w:p>
    <w:p>
      <w:pPr>
        <w:pStyle w:val="ListBullet"/>
        <w:spacing w:after="40"/>
      </w:pPr>
      <w:r>
        <w:t>Services et localisations actuels</w:t>
      </w:r>
    </w:p>
    <w:p>
      <w:pPr>
        <w:pStyle w:val="ListBullet"/>
        <w:spacing w:after="40"/>
      </w:pPr>
      <w:r>
        <w:t>Modules, flags assemblage et complexité</w:t>
      </w:r>
    </w:p>
    <w:p>
      <w:pPr>
        <w:pStyle w:val="ListBullet"/>
        <w:spacing w:after="40"/>
      </w:pPr>
      <w:r>
        <w:t>Décision enregistrée (statut, services attribués, commentaire, horodatage)</w:t>
      </w:r>
    </w:p>
    <w:p>
      <w:pPr>
        <w:pStyle w:val="ListBullet"/>
        <w:spacing w:after="40"/>
      </w:pPr>
      <w:r>
        <w:t>Photos du tooling (si le dossier réseau est accessible)</w:t>
      </w:r>
    </w:p>
    <w:p>
      <w:pPr>
        <w:spacing w:after="80"/>
        <w:ind w:left="283"/>
      </w:pPr>
      <w:r>
        <w:rPr>
          <w:i/>
          <w:color w:val="555555"/>
          <w:sz w:val="20"/>
        </w:rPr>
        <w:t>💡  Utiliser les boutons ◄ DECA précédent / DECA suivant pour naviguer entre les DECAs du même PN sans fermer la fiche.</w:t>
      </w:r>
    </w:p>
    <w:p/>
    <w:p>
      <w:pPr>
        <w:pStyle w:val="Heading1"/>
        <w:spacing w:before="280" w:after="80"/>
      </w:pPr>
      <w:r>
        <w:rPr>
          <w:b/>
          <w:color w:val="1F497D"/>
        </w:rPr>
        <w:t>6. Export</w:t>
      </w:r>
    </w:p>
    <w:p>
      <w:pPr>
        <w:pStyle w:val="Heading2"/>
        <w:spacing w:before="160" w:after="80"/>
      </w:pPr>
      <w:r>
        <w:rPr>
          <w:b/>
          <w:color w:val="2E75B6"/>
        </w:rPr>
        <w:t>6.1  Export complet du module</w:t>
      </w:r>
    </w:p>
    <w:p>
      <w:pPr>
        <w:spacing w:after="60"/>
      </w:pPr>
      <w:r>
        <w:rPr>
          <w:b w:val="0"/>
          <w:i w:val="0"/>
          <w:sz w:val="22"/>
        </w:rPr>
        <w:t>Bouton  📋 Export complet du module  en haut à droite.</w:t>
      </w:r>
    </w:p>
    <w:p>
      <w:pPr>
        <w:spacing w:after="60"/>
      </w:pPr>
      <w:r>
        <w:rPr>
          <w:b w:val="0"/>
          <w:i w:val="0"/>
          <w:sz w:val="22"/>
        </w:rPr>
        <w:t>Exporte TOUS les DECAs du module sélectionné — qu'ils soient validés, en attente, ou sans décision — dans un fichier Excel.</w:t>
      </w:r>
    </w:p>
    <w:p>
      <w:pPr>
        <w:spacing w:after="60"/>
      </w:pPr>
      <w:r>
        <w:rPr>
          <w:b w:val="0"/>
          <w:i w:val="0"/>
          <w:sz w:val="22"/>
        </w:rPr>
        <w:t>Colonnes exportées : PN, Réf, Services actuels 1-5, Localisations, Assemblage, Complexité, Modules, Statut, N.Services attribués, Pré-check, Commentaire, Horodatage, Opérateur.</w:t>
      </w:r>
    </w:p>
    <w:p>
      <w:pPr>
        <w:spacing w:after="80"/>
        <w:ind w:left="283"/>
      </w:pPr>
      <w:r>
        <w:rPr>
          <w:i/>
          <w:color w:val="555555"/>
          <w:sz w:val="20"/>
        </w:rPr>
        <w:t>💡  Utile pour partager l'état d'avancement ou travailler hors application.</w:t>
      </w:r>
    </w:p>
    <w:p>
      <w:pPr>
        <w:pStyle w:val="Heading2"/>
        <w:spacing w:before="160" w:after="80"/>
      </w:pPr>
      <w:r>
        <w:rPr>
          <w:b/>
          <w:color w:val="2E75B6"/>
        </w:rPr>
        <w:t>6.2  Export modèle d'import</w:t>
      </w:r>
    </w:p>
    <w:p>
      <w:pPr>
        <w:spacing w:after="60"/>
      </w:pPr>
      <w:r>
        <w:rPr>
          <w:b w:val="0"/>
          <w:i w:val="0"/>
          <w:sz w:val="22"/>
        </w:rPr>
        <w:t>Bouton  📥 Export modèle d'import  (bleu) en haut à droite.</w:t>
      </w:r>
    </w:p>
    <w:p>
      <w:pPr>
        <w:spacing w:after="60"/>
      </w:pPr>
      <w:r>
        <w:rPr>
          <w:b w:val="0"/>
          <w:i w:val="0"/>
          <w:sz w:val="22"/>
        </w:rPr>
        <w:t>Génère un fichier Excel avec uniquement les colonnes :</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2E75B6"/>
          </w:tcPr>
          <w:p>
            <w:r>
              <w:rPr>
                <w:b/>
                <w:color w:val="FFFFFF"/>
                <w:sz w:val="18"/>
              </w:rPr>
              <w:t>Marquage</w:t>
            </w:r>
          </w:p>
        </w:tc>
        <w:tc>
          <w:tcPr>
            <w:tcW w:type="dxa" w:w="1881"/>
            <w:shd w:val="clear" w:color="auto" w:fill="2E75B6"/>
          </w:tcPr>
          <w:p>
            <w:r>
              <w:rPr>
                <w:b/>
                <w:color w:val="FFFFFF"/>
                <w:sz w:val="18"/>
              </w:rPr>
              <w:t>[Service] Service1</w:t>
            </w:r>
          </w:p>
        </w:tc>
        <w:tc>
          <w:tcPr>
            <w:tcW w:type="dxa" w:w="1881"/>
            <w:shd w:val="clear" w:color="auto" w:fill="2E75B6"/>
          </w:tcPr>
          <w:p>
            <w:r>
              <w:rPr>
                <w:b/>
                <w:color w:val="FFFFFF"/>
                <w:sz w:val="18"/>
              </w:rPr>
              <w:t>[Service] Service2</w:t>
            </w:r>
          </w:p>
        </w:tc>
        <w:tc>
          <w:tcPr>
            <w:tcW w:type="dxa" w:w="1881"/>
            <w:shd w:val="clear" w:color="auto" w:fill="2E75B6"/>
          </w:tcPr>
          <w:p>
            <w:r>
              <w:rPr>
                <w:b/>
                <w:color w:val="FFFFFF"/>
                <w:sz w:val="18"/>
              </w:rPr>
              <w:t>[Service] Service3</w:t>
            </w:r>
          </w:p>
        </w:tc>
        <w:tc>
          <w:tcPr>
            <w:tcW w:type="dxa" w:w="1881"/>
            <w:shd w:val="clear" w:color="auto" w:fill="2E75B6"/>
          </w:tcPr>
          <w:p>
            <w:r>
              <w:rPr>
                <w:b/>
                <w:color w:val="FFFFFF"/>
                <w:sz w:val="18"/>
              </w:rPr>
              <w:t>[Service] Service4</w:t>
            </w:r>
          </w:p>
        </w:tc>
      </w:tr>
      <w:tr>
        <w:tc>
          <w:tcPr>
            <w:tcW w:type="dxa" w:w="1881"/>
          </w:tcPr>
          <w:p>
            <w:r>
              <w:rPr>
                <w:sz w:val="18"/>
              </w:rPr>
              <w:t>ABC-001</w:t>
            </w:r>
          </w:p>
        </w:tc>
        <w:tc>
          <w:tcPr>
            <w:tcW w:type="dxa" w:w="1881"/>
          </w:tcPr>
          <w:p>
            <w:r>
              <w:rPr>
                <w:sz w:val="18"/>
              </w:rPr>
            </w:r>
          </w:p>
        </w:tc>
        <w:tc>
          <w:tcPr>
            <w:tcW w:type="dxa" w:w="1881"/>
          </w:tcPr>
          <w:p>
            <w:r>
              <w:rPr>
                <w:sz w:val="18"/>
              </w:rPr>
            </w:r>
          </w:p>
        </w:tc>
        <w:tc>
          <w:tcPr>
            <w:tcW w:type="dxa" w:w="1881"/>
          </w:tcPr>
          <w:p>
            <w:r>
              <w:rPr>
                <w:sz w:val="18"/>
              </w:rPr>
            </w:r>
          </w:p>
        </w:tc>
        <w:tc>
          <w:tcPr>
            <w:tcW w:type="dxa" w:w="1881"/>
          </w:tcPr>
          <w:p>
            <w:r>
              <w:rPr>
                <w:sz w:val="18"/>
              </w:rPr>
            </w:r>
          </w:p>
        </w:tc>
      </w:tr>
    </w:tbl>
    <w:p>
      <w:pPr>
        <w:spacing w:after="80"/>
        <w:ind w:left="283"/>
      </w:pPr>
      <w:r>
        <w:rPr>
          <w:i/>
          <w:color w:val="555555"/>
          <w:sz w:val="20"/>
        </w:rPr>
        <w:t>💡  Ce fichier peut être complété manuellement et réimporté si l'attribution se fait en dehors de l'application.</w:t>
      </w:r>
    </w:p>
    <w:p/>
    <w:p>
      <w:pPr>
        <w:pStyle w:val="Heading1"/>
        <w:spacing w:before="280" w:after="80"/>
      </w:pPr>
      <w:r>
        <w:rPr>
          <w:b/>
          <w:color w:val="1F497D"/>
        </w:rPr>
        <w:t>7. Raccourcis et astuces</w:t>
      </w:r>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b/>
                <w:color w:val="FFFFFF"/>
                <w:sz w:val="20"/>
              </w:rPr>
              <w:t>Action</w:t>
            </w:r>
          </w:p>
        </w:tc>
        <w:tc>
          <w:tcPr>
            <w:tcW w:type="dxa" w:w="4703"/>
            <w:shd w:val="clear" w:color="auto" w:fill="1F497D"/>
          </w:tcPr>
          <w:p>
            <w:r>
              <w:rPr>
                <w:b/>
                <w:color w:val="FFFFFF"/>
                <w:sz w:val="20"/>
              </w:rPr>
              <w:t>Résultat</w:t>
            </w:r>
          </w:p>
        </w:tc>
      </w:tr>
      <w:tr>
        <w:tc>
          <w:tcPr>
            <w:tcW w:type="dxa" w:w="4703"/>
          </w:tcPr>
          <w:p>
            <w:r>
              <w:rPr>
                <w:sz w:val="20"/>
              </w:rPr>
              <w:t>Double-clic sur une ligne</w:t>
            </w:r>
          </w:p>
        </w:tc>
        <w:tc>
          <w:tcPr>
            <w:tcW w:type="dxa" w:w="4703"/>
          </w:tcPr>
          <w:p>
            <w:r>
              <w:rPr>
                <w:sz w:val="20"/>
              </w:rPr>
              <w:t>Ouvrir la fiche outil</w:t>
            </w:r>
          </w:p>
        </w:tc>
      </w:tr>
      <w:tr>
        <w:tc>
          <w:tcPr>
            <w:tcW w:type="dxa" w:w="4703"/>
            <w:shd w:val="clear" w:color="auto" w:fill="EAF3FF"/>
          </w:tcPr>
          <w:p>
            <w:r>
              <w:rPr>
                <w:sz w:val="20"/>
              </w:rPr>
              <w:t>Clic droit sur en-tête colonne</w:t>
            </w:r>
          </w:p>
        </w:tc>
        <w:tc>
          <w:tcPr>
            <w:tcW w:type="dxa" w:w="4703"/>
            <w:shd w:val="clear" w:color="auto" w:fill="EAF3FF"/>
          </w:tcPr>
          <w:p>
            <w:r>
              <w:rPr>
                <w:sz w:val="20"/>
              </w:rPr>
              <w:t>Cacher / afficher des colonnes</w:t>
            </w:r>
          </w:p>
        </w:tc>
      </w:tr>
      <w:tr>
        <w:tc>
          <w:tcPr>
            <w:tcW w:type="dxa" w:w="4703"/>
          </w:tcPr>
          <w:p>
            <w:r>
              <w:rPr>
                <w:sz w:val="20"/>
              </w:rPr>
              <w:t>Clic sur en-tête colonne</w:t>
            </w:r>
          </w:p>
        </w:tc>
        <w:tc>
          <w:tcPr>
            <w:tcW w:type="dxa" w:w="4703"/>
          </w:tcPr>
          <w:p>
            <w:r>
              <w:rPr>
                <w:sz w:val="20"/>
              </w:rPr>
              <w:t>Trier par cette colonne</w:t>
            </w:r>
          </w:p>
        </w:tc>
      </w:tr>
      <w:tr>
        <w:tc>
          <w:tcPr>
            <w:tcW w:type="dxa" w:w="4703"/>
            <w:shd w:val="clear" w:color="auto" w:fill="EAF3FF"/>
          </w:tcPr>
          <w:p>
            <w:r>
              <w:rPr>
                <w:sz w:val="20"/>
              </w:rPr>
              <w:t>Taper dans N.Service 3/4</w:t>
            </w:r>
          </w:p>
        </w:tc>
        <w:tc>
          <w:tcPr>
            <w:tcW w:type="dxa" w:w="4703"/>
            <w:shd w:val="clear" w:color="auto" w:fill="EAF3FF"/>
          </w:tcPr>
          <w:p>
            <w:r>
              <w:rPr>
                <w:sz w:val="20"/>
              </w:rPr>
              <w:t>Filtrer la liste déroulante</w:t>
            </w:r>
          </w:p>
        </w:tc>
      </w:tr>
      <w:tr>
        <w:tc>
          <w:tcPr>
            <w:tcW w:type="dxa" w:w="4703"/>
          </w:tcPr>
          <w:p>
            <w:r>
              <w:rPr>
                <w:sz w:val="20"/>
              </w:rPr>
              <w:t>Filtre «À traiter»</w:t>
            </w:r>
          </w:p>
        </w:tc>
        <w:tc>
          <w:tcPr>
            <w:tcW w:type="dxa" w:w="4703"/>
          </w:tcPr>
          <w:p>
            <w:r>
              <w:rPr>
                <w:sz w:val="20"/>
              </w:rPr>
              <w:t>Masquer les PNs déjà validés</w:t>
            </w:r>
          </w:p>
        </w:tc>
      </w:tr>
      <w:tr>
        <w:tc>
          <w:tcPr>
            <w:tcW w:type="dxa" w:w="4703"/>
            <w:shd w:val="clear" w:color="auto" w:fill="EAF3FF"/>
          </w:tcPr>
          <w:p>
            <w:r>
              <w:rPr>
                <w:sz w:val="20"/>
              </w:rPr>
              <w:t>Barre de recherche PN</w:t>
            </w:r>
          </w:p>
        </w:tc>
        <w:tc>
          <w:tcPr>
            <w:tcW w:type="dxa" w:w="4703"/>
            <w:shd w:val="clear" w:color="auto" w:fill="EAF3FF"/>
          </w:tcPr>
          <w:p>
            <w:r>
              <w:rPr>
                <w:sz w:val="20"/>
              </w:rPr>
              <w:t>Trouver un PN rapidement</w:t>
            </w:r>
          </w:p>
        </w:tc>
      </w:tr>
      <w:tr>
        <w:tc>
          <w:tcPr>
            <w:tcW w:type="dxa" w:w="4703"/>
          </w:tcPr>
          <w:p>
            <w:r>
              <w:rPr>
                <w:sz w:val="20"/>
              </w:rPr>
              <w:t>✓ Valider &amp; suivant</w:t>
            </w:r>
          </w:p>
        </w:tc>
        <w:tc>
          <w:tcPr>
            <w:tcW w:type="dxa" w:w="4703"/>
          </w:tcPr>
          <w:p>
            <w:r>
              <w:rPr>
                <w:sz w:val="20"/>
              </w:rPr>
              <w:t>Enregistrer et passer au PN suivant</w:t>
            </w:r>
          </w:p>
        </w:tc>
      </w:tr>
      <w:tr>
        <w:tc>
          <w:tcPr>
            <w:tcW w:type="dxa" w:w="4703"/>
            <w:shd w:val="clear" w:color="auto" w:fill="EAF3FF"/>
          </w:tcPr>
          <w:p>
            <w:r>
              <w:rPr>
                <w:sz w:val="20"/>
              </w:rPr>
              <w:t>→ PN suivant</w:t>
            </w:r>
          </w:p>
        </w:tc>
        <w:tc>
          <w:tcPr>
            <w:tcW w:type="dxa" w:w="4703"/>
            <w:shd w:val="clear" w:color="auto" w:fill="EAF3FF"/>
          </w:tcPr>
          <w:p>
            <w:r>
              <w:rPr>
                <w:sz w:val="20"/>
              </w:rPr>
              <w:t>Passer au PN suivant sans valider</w:t>
            </w:r>
          </w:p>
        </w:tc>
      </w:tr>
    </w:tbl>
    <w:p/>
    <w:p>
      <w:pPr>
        <w:pStyle w:val="Heading1"/>
        <w:spacing w:before="280" w:after="80"/>
      </w:pPr>
      <w:r>
        <w:rPr>
          <w:b/>
          <w:color w:val="1F497D"/>
        </w:rPr>
        <w:t>8. Dépannage</w:t>
      </w:r>
    </w:p>
    <w:p>
      <w:pPr>
        <w:spacing w:after="60"/>
      </w:pPr>
      <w:r>
        <w:rPr>
          <w:b/>
          <w:i w:val="0"/>
          <w:sz w:val="22"/>
        </w:rPr>
        <w:t>Photos non disponibles</w:t>
      </w:r>
    </w:p>
    <w:p>
      <w:pPr>
        <w:pStyle w:val="ListBullet"/>
        <w:spacing w:after="40"/>
      </w:pPr>
      <w:r>
        <w:t>Le dossier réseau (\\nas01.one.ad\DECA\ssb\Foto Toolings) n'est pas accessible.</w:t>
      </w:r>
    </w:p>
    <w:p>
      <w:pPr>
        <w:pStyle w:val="ListBullet"/>
        <w:spacing w:after="40"/>
      </w:pPr>
      <w:r>
        <w:t>Se connecter au réseau Safran et relancer.</w:t>
      </w:r>
    </w:p>
    <w:p>
      <w:pPr>
        <w:spacing w:after="60"/>
      </w:pPr>
      <w:r>
        <w:rPr>
          <w:b/>
          <w:i w:val="0"/>
          <w:sz w:val="22"/>
        </w:rPr>
        <w:t>L'application ne démarre pas</w:t>
      </w:r>
    </w:p>
    <w:p>
      <w:pPr>
        <w:pStyle w:val="ListBullet"/>
        <w:spacing w:after="40"/>
      </w:pPr>
      <w:r>
        <w:t>Ouvrir un terminal (cmd) dans le dossier du projet.</w:t>
      </w:r>
    </w:p>
    <w:p>
      <w:pPr>
        <w:pStyle w:val="ListBullet"/>
        <w:spacing w:after="40"/>
      </w:pPr>
      <w:r>
        <w:t>Lancer :  C:\SafApp\Python\Python3.14-64\python.exe deca_manager.py</w:t>
      </w:r>
    </w:p>
    <w:p>
      <w:pPr>
        <w:pStyle w:val="ListBullet"/>
        <w:spacing w:after="40"/>
      </w:pPr>
      <w:r>
        <w:t>Le message d'erreur complet sera visible dans la fenêtre.</w:t>
      </w:r>
    </w:p>
    <w:p>
      <w:pPr>
        <w:spacing w:after="60"/>
      </w:pPr>
      <w:r>
        <w:rPr>
          <w:b/>
          <w:i w:val="0"/>
          <w:sz w:val="22"/>
        </w:rPr>
        <w:t>Base de données introuvable</w:t>
      </w:r>
    </w:p>
    <w:p>
      <w:pPr>
        <w:pStyle w:val="ListBullet"/>
        <w:spacing w:after="40"/>
      </w:pPr>
      <w:r>
        <w:t>Le fichier decisions.db doit être dans le même dossier que deca_manager.py.</w:t>
      </w:r>
    </w:p>
    <w:p>
      <w:pPr>
        <w:pStyle w:val="ListBullet"/>
        <w:spacing w:after="40"/>
      </w:pPr>
      <w:r>
        <w:t>Ne pas déplacer les fichiers séparément.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