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00"/>
      </w:pPr>
      <w:r>
        <w:t>Lumap 产品需求文档</w:t>
      </w:r>
    </w:p>
    <w:p>
      <w:pPr>
        <w:pStyle w:val="Subtitle"/>
      </w:pPr>
      <w:r>
        <w:t>启发式个性化学习软件</w:t>
      </w:r>
    </w:p>
    <w:p>
      <w:pPr>
        <w:spacing w:after="400"/>
      </w:pPr>
      <w:r>
        <w:rPr>
          <w:sz w:val="19"/>
        </w:rPr>
        <w:t>版本 0.1　｜　2026 年 9 月 29 日　｜　状态：产品设计草案</w:t>
      </w:r>
    </w:p>
    <w:p>
      <w:r>
        <w:t>面向 Lumap 创始团队、设计与开发成员，以及墨尔本大学 Hackathon 项目讨论。本文定义产品愿景、首版体验、推荐与学习机制、工程边界和验收方法；涉及效果、商业收入、算法参数和开发周期的数字均为设计目标或待验证假设，并非已有结果。</w:t>
      </w:r>
    </w:p>
    <w:p>
      <w:r>
        <w:rPr>
          <w:b/>
        </w:rPr>
        <w:t>建议决策：</w:t>
      </w:r>
      <w:r>
        <w:t xml:space="preserve"> 首版让用户从一句模糊的学习意愿出发，在一次约 10–15 分钟的学习中确认方向、完成一个可检查的任务，并看见下一步为何发生变化。产品长期积累应用内学习证据，逐步形成用户可以检查和纠正的个人学习地图。Hackathon 先用一个经过人工审核的知识领域证明这一闭环。</w:t>
      </w:r>
    </w:p>
    <w:p>
      <w:r>
        <w:t xml:space="preserve">本次交付只建立 </w:t>
      </w:r>
      <w:r>
        <w:rPr>
          <w:rFonts w:ascii="Arial" w:hAnsi="Arial"/>
          <w:sz w:val="20"/>
        </w:rPr>
        <w:t>Lumap</w:t>
      </w:r>
      <w:r>
        <w:t xml:space="preserve"> 独立子目录及 PRD。后续开发沿用现有项目的技术能力，但 Lumap 应拥有独立名称、应用身份、数据存储和学习体验。</w:t>
      </w:r>
    </w:p>
    <w:p>
      <w:r>
        <w:br w:type="page"/>
      </w:r>
    </w:p>
    <w:p>
      <w:pPr>
        <w:pStyle w:val="Heading1"/>
        <w:spacing w:before="0"/>
      </w:pPr>
      <w:r>
        <w:t>阅读导航</w:t>
      </w:r>
    </w:p>
    <w:p>
      <w:pPr>
        <w:spacing w:after="240"/>
      </w:pPr>
      <w:r>
        <w:t>产品讨论先读 01 至 06；学习机制与开发读 07 至 15；验证与演示读 16 至 20。</w:t>
      </w:r>
    </w:p>
    <w:p>
      <w:pPr>
        <w:tabs>
          <w:tab w:pos="9994" w:val="right" w:leader="dot"/>
        </w:tabs>
        <w:spacing w:after="60" w:line="340" w:lineRule="exact"/>
      </w:pPr>
      <w:hyperlink w:anchor="sec_1">
        <w:r>
          <w:rPr>
            <w:color w:val="000000"/>
          </w:rPr>
          <w:t>01 产品定义与价值主张</w:t>
        </w:r>
      </w:hyperlink>
      <w:r>
        <w:tab/>
      </w:r>
      <w:r>
        <w:fldChar w:fldCharType="begin"/>
      </w:r>
      <w:r>
        <w:instrText xml:space="preserve"> PAGEREF sec_1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2">
        <w:r>
          <w:rPr>
            <w:color w:val="000000"/>
          </w:rPr>
          <w:t>02 用户与关键场景</w:t>
        </w:r>
      </w:hyperlink>
      <w:r>
        <w:tab/>
      </w:r>
      <w:r>
        <w:fldChar w:fldCharType="begin"/>
      </w:r>
      <w:r>
        <w:instrText xml:space="preserve"> PAGEREF sec_2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3">
        <w:r>
          <w:rPr>
            <w:color w:val="000000"/>
          </w:rPr>
          <w:t>03 范围与版本规划</w:t>
        </w:r>
      </w:hyperlink>
      <w:r>
        <w:tab/>
      </w:r>
      <w:r>
        <w:fldChar w:fldCharType="begin"/>
      </w:r>
      <w:r>
        <w:instrText xml:space="preserve"> PAGEREF sec_3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4">
        <w:r>
          <w:rPr>
            <w:color w:val="000000"/>
          </w:rPr>
          <w:t>04 核心体验与用户旅程</w:t>
        </w:r>
      </w:hyperlink>
      <w:r>
        <w:tab/>
      </w:r>
      <w:r>
        <w:fldChar w:fldCharType="begin"/>
      </w:r>
      <w:r>
        <w:instrText xml:space="preserve"> PAGEREF sec_4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5">
        <w:r>
          <w:rPr>
            <w:color w:val="000000"/>
          </w:rPr>
          <w:t>05 信息架构与关键页面</w:t>
        </w:r>
      </w:hyperlink>
      <w:r>
        <w:tab/>
      </w:r>
      <w:r>
        <w:fldChar w:fldCharType="begin"/>
      </w:r>
      <w:r>
        <w:instrText xml:space="preserve"> PAGEREF sec_5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6">
        <w:r>
          <w:rPr>
            <w:color w:val="000000"/>
          </w:rPr>
          <w:t>06 功能需求</w:t>
        </w:r>
      </w:hyperlink>
      <w:r>
        <w:tab/>
      </w:r>
      <w:r>
        <w:fldChar w:fldCharType="begin"/>
      </w:r>
      <w:r>
        <w:instrText xml:space="preserve"> PAGEREF sec_6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7">
        <w:r>
          <w:rPr>
            <w:color w:val="000000"/>
          </w:rPr>
          <w:t>07 学习状态机</w:t>
        </w:r>
      </w:hyperlink>
      <w:r>
        <w:tab/>
      </w:r>
      <w:r>
        <w:fldChar w:fldCharType="begin"/>
      </w:r>
      <w:r>
        <w:instrText xml:space="preserve"> PAGEREF sec_7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8">
        <w:r>
          <w:rPr>
            <w:color w:val="000000"/>
          </w:rPr>
          <w:t>08 知识图谱与从宽到窄的路径</w:t>
        </w:r>
      </w:hyperlink>
      <w:r>
        <w:tab/>
      </w:r>
      <w:r>
        <w:fldChar w:fldCharType="begin"/>
      </w:r>
      <w:r>
        <w:instrText xml:space="preserve"> PAGEREF sec_8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9">
        <w:r>
          <w:rPr>
            <w:color w:val="000000"/>
          </w:rPr>
          <w:t>09 用户模型与记忆</w:t>
        </w:r>
      </w:hyperlink>
      <w:r>
        <w:tab/>
      </w:r>
      <w:r>
        <w:fldChar w:fldCharType="begin"/>
      </w:r>
      <w:r>
        <w:instrText xml:space="preserve"> PAGEREF sec_9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0">
        <w:r>
          <w:rPr>
            <w:color w:val="000000"/>
          </w:rPr>
          <w:t>10 推荐算法与可解释决策</w:t>
        </w:r>
      </w:hyperlink>
      <w:r>
        <w:tab/>
      </w:r>
      <w:r>
        <w:fldChar w:fldCharType="begin"/>
      </w:r>
      <w:r>
        <w:instrText xml:space="preserve"> PAGEREF sec_10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1">
        <w:r>
          <w:rPr>
            <w:color w:val="000000"/>
          </w:rPr>
          <w:t>11 教学策略与掌握证据</w:t>
        </w:r>
      </w:hyperlink>
      <w:r>
        <w:tab/>
      </w:r>
      <w:r>
        <w:fldChar w:fldCharType="begin"/>
      </w:r>
      <w:r>
        <w:instrText xml:space="preserve"> PAGEREF sec_11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2">
        <w:r>
          <w:rPr>
            <w:color w:val="000000"/>
          </w:rPr>
          <w:t>12 资料处理与内容可信度</w:t>
        </w:r>
      </w:hyperlink>
      <w:r>
        <w:tab/>
      </w:r>
      <w:r>
        <w:fldChar w:fldCharType="begin"/>
      </w:r>
      <w:r>
        <w:instrText xml:space="preserve"> PAGEREF sec_12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3">
        <w:r>
          <w:rPr>
            <w:color w:val="000000"/>
          </w:rPr>
          <w:t>13 基于现有项目的实现方案</w:t>
        </w:r>
      </w:hyperlink>
      <w:r>
        <w:tab/>
      </w:r>
      <w:r>
        <w:fldChar w:fldCharType="begin"/>
      </w:r>
      <w:r>
        <w:instrText xml:space="preserve"> PAGEREF sec_13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4">
        <w:r>
          <w:rPr>
            <w:color w:val="000000"/>
          </w:rPr>
          <w:t>14 数据模型与事件</w:t>
        </w:r>
      </w:hyperlink>
      <w:r>
        <w:tab/>
      </w:r>
      <w:r>
        <w:fldChar w:fldCharType="begin"/>
      </w:r>
      <w:r>
        <w:instrText xml:space="preserve"> PAGEREF sec_14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5">
        <w:r>
          <w:rPr>
            <w:color w:val="000000"/>
          </w:rPr>
          <w:t>15 隐私与失败处理</w:t>
        </w:r>
      </w:hyperlink>
      <w:r>
        <w:tab/>
      </w:r>
      <w:r>
        <w:fldChar w:fldCharType="begin"/>
      </w:r>
      <w:r>
        <w:instrText xml:space="preserve"> PAGEREF sec_15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6">
        <w:r>
          <w:rPr>
            <w:color w:val="000000"/>
          </w:rPr>
          <w:t>16 成效指标与验证设计</w:t>
        </w:r>
      </w:hyperlink>
      <w:r>
        <w:tab/>
      </w:r>
      <w:r>
        <w:fldChar w:fldCharType="begin"/>
      </w:r>
      <w:r>
        <w:instrText xml:space="preserve"> PAGEREF sec_16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7">
        <w:r>
          <w:rPr>
            <w:color w:val="000000"/>
          </w:rPr>
          <w:t>17 商业假设与竞争验证</w:t>
        </w:r>
      </w:hyperlink>
      <w:r>
        <w:tab/>
      </w:r>
      <w:r>
        <w:fldChar w:fldCharType="begin"/>
      </w:r>
      <w:r>
        <w:instrText xml:space="preserve"> PAGEREF sec_17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8">
        <w:r>
          <w:rPr>
            <w:color w:val="000000"/>
          </w:rPr>
          <w:t>18 Hackathon 实施与演示</w:t>
        </w:r>
      </w:hyperlink>
      <w:r>
        <w:tab/>
      </w:r>
      <w:r>
        <w:fldChar w:fldCharType="begin"/>
      </w:r>
      <w:r>
        <w:instrText xml:space="preserve"> PAGEREF sec_18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19">
        <w:r>
          <w:rPr>
            <w:color w:val="000000"/>
          </w:rPr>
          <w:t>19 验收清单</w:t>
        </w:r>
      </w:hyperlink>
      <w:r>
        <w:tab/>
      </w:r>
      <w:r>
        <w:fldChar w:fldCharType="begin"/>
      </w:r>
      <w:r>
        <w:instrText xml:space="preserve"> PAGEREF sec_19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20">
        <w:r>
          <w:rPr>
            <w:color w:val="000000"/>
          </w:rPr>
          <w:t>20 风险与决策记录</w:t>
        </w:r>
      </w:hyperlink>
      <w:r>
        <w:tab/>
      </w:r>
      <w:r>
        <w:fldChar w:fldCharType="begin"/>
      </w:r>
      <w:r>
        <w:instrText xml:space="preserve"> PAGEREF sec_20 \h </w:instrText>
      </w:r>
      <w:r>
        <w:fldChar w:fldCharType="separate"/>
      </w:r>
      <w:r>
        <w:t/>
      </w:r>
      <w:r>
        <w:fldChar w:fldCharType="end"/>
      </w:r>
    </w:p>
    <w:p>
      <w:pPr>
        <w:tabs>
          <w:tab w:pos="9994" w:val="right" w:leader="dot"/>
        </w:tabs>
        <w:spacing w:after="60" w:line="340" w:lineRule="exact"/>
      </w:pPr>
      <w:hyperlink w:anchor="sec_21">
        <w:r>
          <w:rPr>
            <w:color w:val="000000"/>
          </w:rPr>
          <w:t>21 依据与后续交付</w:t>
        </w:r>
      </w:hyperlink>
      <w:r>
        <w:tab/>
      </w:r>
      <w:r>
        <w:fldChar w:fldCharType="begin"/>
      </w:r>
      <w:r>
        <w:instrText xml:space="preserve"> PAGEREF sec_21 \h </w:instrText>
      </w:r>
      <w:r>
        <w:fldChar w:fldCharType="separate"/>
      </w:r>
      <w:r>
        <w:t/>
      </w:r>
      <w:r>
        <w:fldChar w:fldCharType="end"/>
      </w:r>
    </w:p>
    <w:p>
      <w:r>
        <w:br w:type="page"/>
      </w:r>
    </w:p>
    <w:p>
      <w:bookmarkStart w:id="1" w:name="sec_1"/>
      <w:pPr>
        <w:pStyle w:val="Heading1"/>
      </w:pPr>
      <w:r>
        <w:t>01 产品定义与价值主张</w:t>
      </w:r>
      <w:bookmarkEnd w:id="1"/>
    </w:p>
    <w:p>
      <w:pPr>
        <w:pStyle w:val="Heading2"/>
      </w:pPr>
      <w:r>
        <w:t>01 1 产品要解决的问题</w:t>
      </w:r>
    </w:p>
    <w:p>
      <w:r>
        <w:t>学习者经常只能表达“想了解 AI”“想看懂这篇论文”，很难同时说清真实动机、已有基础、需要达到的程度，以及下一步应该学什么。即使拿到一份课程清单，也可能因为缺少前置知识、任务过大或兴趣变化而中断。现有 VoiceClass 能帮助保存和理解资料，但尚未管理从目标探索到学习证据再到路径调整的持续过程。</w:t>
      </w:r>
    </w:p>
    <w:p>
      <w:r>
        <w:t>Lumap 的核心对象是“下一次有意义的学习行动”。它把用户的意图视为可修订的目标假设，先用短互动和实际任务找到起点，再结合知识依赖、学习表现和用户选择，提出一个有理由的下一步。</w:t>
      </w:r>
    </w:p>
    <w:p>
      <w:r>
        <w:rPr>
          <w:b/>
        </w:rPr>
        <w:t>一句话定位：</w:t>
      </w:r>
      <w:r>
        <w:t xml:space="preserve"> Lumap 是一个通过对话发现方向、通过任务了解掌握情况、通过学习地图持续调整路径的 AI 学习伙伴。</w:t>
      </w:r>
    </w:p>
    <w:p>
      <w:r>
        <w:t>英文产品介绍建议使用：Lumap helps you discover what to learn, build the foundations, and choose your next step through guided practice.</w:t>
      </w:r>
    </w:p>
    <w:p>
      <w:pPr>
        <w:pStyle w:val="Heading2"/>
      </w:pPr>
      <w:r>
        <w:t>01 2 产品承诺</w:t>
      </w:r>
    </w:p>
    <w:p>
      <w:pPr>
        <w:pStyle w:val="ListBullet"/>
      </w:pPr>
      <w:r>
        <w:t>允许从“不知道想学什么”开始，尽快得到一个可尝试的小任务。</w:t>
      </w:r>
    </w:p>
    <w:p>
      <w:pPr>
        <w:pStyle w:val="ListBullet"/>
      </w:pPr>
      <w:r>
        <w:t>把基础、目标和拓展的关系解释清楚；已有基础可通过挑战题证明。</w:t>
      </w:r>
    </w:p>
    <w:p>
      <w:pPr>
        <w:pStyle w:val="ListBullet"/>
      </w:pPr>
      <w:r>
        <w:t>根据真实学习证据调整任务难度、例子和路径，同时允许用户改变选择。</w:t>
      </w:r>
    </w:p>
    <w:p>
      <w:pPr>
        <w:pStyle w:val="ListBullet"/>
      </w:pPr>
      <w:r>
        <w:t>明确区分已经观察到的表现、用户主动说明的偏好和系统的暂时推测。</w:t>
      </w:r>
    </w:p>
    <w:p>
      <w:pPr>
        <w:pStyle w:val="ListBullet"/>
      </w:pPr>
      <w:r>
        <w:t>保留长期学习轨迹，让用户知道自己已经能做什么，以及哪些结论仍需验证。</w:t>
      </w:r>
    </w:p>
    <w:p>
      <w:r>
        <w:t>“完全颠覆现有学习模式”属于团队愿景。当前不能据此宣称市场上没有类似能力。Khanmigo 官方已介绍引导式学习与批判性思考能力；Lumap 应验证的差异点是“模糊意图发现、可解释路径变化、长期证据和用户纠正”是否形成更有价值的组合。</w:t>
      </w:r>
      <w:hyperlink r:id="rId11">
        <w:r>
          <w:rPr>
            <w:color w:val="245B76"/>
            <w:u w:val="single"/>
          </w:rPr>
          <w:t>Khanmigo 官方介绍</w:t>
        </w:r>
      </w:hyperlink>
    </w:p>
    <w:p>
      <w:pPr>
        <w:pStyle w:val="Heading2"/>
      </w:pPr>
      <w:r>
        <w:t>01 3 成功应被如何理解</w:t>
      </w:r>
    </w:p>
    <w:p>
      <w:r>
        <w:t>用户能更清楚地说明当前学习目标，独立完成此前不能完成的任务，并理解下一步建议。停留时间、连续登录和对角色的喜爱可以用于体验诊断，但不作为学习成功的替代指标。</w:t>
      </w:r>
    </w:p>
    <w:p>
      <w:bookmarkStart w:id="2" w:name="sec_2"/>
      <w:pPr>
        <w:pStyle w:val="Heading1"/>
      </w:pPr>
      <w:r>
        <w:t>02 用户与关键场景</w:t>
      </w:r>
      <w:bookmarkEnd w:id="2"/>
    </w:p>
    <w:p>
      <w:pPr>
        <w:pStyle w:val="Heading2"/>
      </w:pPr>
      <w:r>
        <w:t>02 1 首版用户假设</w:t>
      </w:r>
    </w:p>
    <w:p>
      <w:r>
        <w:t>首版暂定面向 18 岁及以上大学生，尤其是正在接触陌生课程、跨专业主题或英文资料的自主学习者。此选择便于在大学 Hackathon 环境开展小规模验证，不代表产品长期仅服务成年人。暂不依赖学校账号、课程管理系统或教师后台。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800"/>
        <w:gridCol w:w="2534"/>
        <w:gridCol w:w="2808"/>
        <w:gridCol w:w="2851"/>
      </w:tblGrid>
      <w:tr>
        <w:trPr>
          <w:cantSplit/>
          <w:tblHeader/>
        </w:trPr>
        <w:tc>
          <w:tcPr>
            <w:tcW w:type="dxa" w:w="180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用户类型</w:t>
            </w:r>
          </w:p>
        </w:tc>
        <w:tc>
          <w:tcPr>
            <w:tcW w:type="dxa" w:w="253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典型表达</w:t>
            </w:r>
          </w:p>
        </w:tc>
        <w:tc>
          <w:tcPr>
            <w:tcW w:type="dxa" w:w="280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主要困难</w:t>
            </w:r>
          </w:p>
        </w:tc>
        <w:tc>
          <w:tcPr>
            <w:tcW w:type="dxa" w:w="285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Lumap 应交付的结果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方向不明确的探索者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我对 AI 有点兴趣，但不知道学什么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无法把兴趣变成可执行目标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三个以内的方向及一次探索任务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带资料来的学习者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我想看懂这份讲义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不知道自己缺哪些基础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资料目标、前置缺口与短学习路径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目标明确的学习者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我明天要解释模型准确率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时间有限，不想重复已经会的内容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起点挑战、精简路径和独立任务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长期返回的学习者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接着上次学，但换个应用方向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历史散落，兴趣与目标会变化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可延续的证据、目标修订与新分支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这些画像是设计假设，不是已经完成的访谈结论。</w:t>
      </w:r>
    </w:p>
    <w:p>
      <w:pPr>
        <w:pStyle w:val="Heading2"/>
      </w:pPr>
      <w:r>
        <w:t>02 2 低龄学习的长期设计</w:t>
      </w:r>
    </w:p>
    <w:p>
      <w:r>
        <w:t>保留“表达能力有限也能开始”的产品原则：短句、具体场景卡片、图片选择、示例任务和“都不确定”入口。语音可以作为可选表达方式，不能把长时间录音设为画像的前提。首版先用成人用户验证这些低表达负担的交互。</w:t>
      </w:r>
    </w:p>
    <w:p>
      <w:r>
        <w:t>未成年人公开版本需另设项目阶段，补齐年龄适配内容、监护关系、数据控制、风险处理和真实目标人群测试。系统不得根据阅读速度、拼写、语音特征或兴趣推断智力、心理状态或固定能力标签。监护者和学校也不应默认获得学习者的全部私人对话。具体规则在该阶段确定，不将当前成人原型包装成已适合儿童使用的产品。</w:t>
      </w:r>
    </w:p>
    <w:p>
      <w:pPr>
        <w:pStyle w:val="Heading2"/>
      </w:pPr>
      <w:r>
        <w:t>02 3 核心使用任务</w:t>
      </w:r>
    </w:p>
    <w:p>
      <w:r>
        <w:t>当我不知道如何开始时，帮我找到一个值得尝试的方向；当我遇到困难时，帮我定位缺口并给出适量支持；当我完成任务时，告诉我这说明了什么，并给我一个可以接受或修改的下一步。</w:t>
      </w:r>
    </w:p>
    <w:p>
      <w:bookmarkStart w:id="3" w:name="sec_3"/>
      <w:pPr>
        <w:pStyle w:val="Heading1"/>
      </w:pPr>
      <w:r>
        <w:t>03 范围与版本规划</w:t>
      </w:r>
      <w:bookmarkEnd w:id="3"/>
    </w:p>
    <w:p>
      <w:pPr>
        <w:pStyle w:val="Heading2"/>
      </w:pPr>
      <w:r>
        <w:t>03 1 当前约束与待确认假设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当前规划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对范围的影响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开发平台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macOS 优先，基线沿用 macOS 14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不同时开发 Windows 和移动端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语言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界面英文默认，可切换简体中文；教学语言独立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提示词、评分、反馈和错误都需适配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开发条件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暂按 3–4 人、48 小时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核心领域和演示路径需严格限量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演示内容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AI 结果与新闻可信度判断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六个核心节点为交付基线，12 个为扩展目标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AI 接入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一套实际验证的模型配置，保留自定义 API 入口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不以支持所有供应商作为演示目标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赛事规则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具体赛事、日期、主题、评分标准尚未提供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既有代码使用规则与材料格式需核对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03 2 版本边界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必须做到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暂不承诺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H0 Hackathon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意图发现、短诊断、审核图谱、启发式学习、证据更新、可解释下一步、本地恢复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任意学科可靠建图、真实长期效果、儿童版本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V1 用户试点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多份资料、跨会话偏好、到期复习、更多领域、画像编辑、可用性与学习验证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自动了解用户全部生活、普遍提升学习成绩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V2 产品扩展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经验证的个性化模型、可选同步、协作场景、年龄适配版本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未验证的全自动教育替代方案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03 3 优先级</w:t>
      </w:r>
    </w:p>
    <w:p>
      <w:r>
        <w:t>P0 是缺失就无法证明核心闭环的需求。P1 是闭环稳定后增强可信度和使用体验的需求。P2 是未来商业化或大规模使用需要的能力。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584"/>
        <w:gridCol w:w="8410"/>
      </w:tblGrid>
      <w:tr>
        <w:trPr>
          <w:cantSplit/>
          <w:tblHeader/>
        </w:trPr>
        <w:tc>
          <w:tcPr>
            <w:tcW w:type="dxa" w:w="158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type="dxa" w:w="841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需求集合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P0</w:t>
            </w:r>
          </w:p>
        </w:tc>
        <w:tc>
          <w:tcPr>
            <w:tcW w:type="dxa" w:w="84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独立应用与数据、英文默认、三个学习入口、目标确认、短诊断、学习地图、分级提示、检查题、推荐解释、断点恢复、基本资料导入、API 设置与失败处理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P1</w:t>
            </w:r>
          </w:p>
        </w:tc>
        <w:tc>
          <w:tcPr>
            <w:tcW w:type="dxa" w:w="84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可编辑画像、延迟复习、可选导师外观、学习导出、多资料整合、图谱审核工具、评估记录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P2</w:t>
            </w:r>
          </w:p>
        </w:tc>
        <w:tc>
          <w:tcPr>
            <w:tcW w:type="dxa" w:w="841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跨设备同步、教师与监护端、群体推荐训练、学校系统集成、支付和课程市场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H0 的资料导入限定为演示领域内的可提取文本文件；自由领域先显示“探索草案”并禁止伪装成已经审核的学习路径。角色立绘不承担推荐或掌握判断职责，不应挤占 P0 工期。</w:t>
      </w:r>
    </w:p>
    <w:p>
      <w:bookmarkStart w:id="4" w:name="sec_4"/>
      <w:pPr>
        <w:pStyle w:val="Heading1"/>
      </w:pPr>
      <w:r>
        <w:t>04 核心体验与用户旅程</w:t>
      </w:r>
      <w:bookmarkEnd w:id="4"/>
    </w:p>
    <w:p>
      <w:pPr>
        <w:pStyle w:val="Heading2"/>
      </w:pPr>
      <w:r>
        <w:t>04 1 第一次打开</w:t>
      </w:r>
    </w:p>
    <w:p>
      <w:r>
        <w:t>首页提出一个直接的问题：“What would you like to understand?” 用户可以输入一句话、导入资料，或选择“I’m not sure yet”。无需注册、填写长问卷或先配置一整套个人档案。</w:t>
      </w:r>
    </w:p>
    <w:p>
      <w:r>
        <w:t>准备好的演示设备可以预先配置团队自有 API。普通用户尚未配置模型时，仍能查看功能说明和明确标注的本地示例；开始在线生成前再引导设置。接口失效时不得用样例回复冒充实时生成。</w:t>
      </w:r>
    </w:p>
    <w:p>
      <w:pPr>
        <w:pStyle w:val="Heading2"/>
      </w:pPr>
      <w:r>
        <w:t>04 2 模糊目标到第一个成果</w:t>
      </w:r>
    </w:p>
    <w:p>
      <w:pPr>
        <w:ind w:left="245" w:hanging="245"/>
      </w:pPr>
      <w:r>
        <w:t>1. 用户输入“I want to learn about AI, but I don’t know where to start.”</w:t>
      </w:r>
    </w:p>
    <w:p>
      <w:pPr>
        <w:ind w:left="245" w:hanging="245"/>
      </w:pPr>
      <w:r>
        <w:t>2. Lumap 展示最多三个具体方向，例如理解模型如何预测、判断 AI 新闻中的结论、解释模型为什么会出错；每项包含一个能完成的小任务。</w:t>
      </w:r>
    </w:p>
    <w:p>
      <w:pPr>
        <w:ind w:left="245" w:hanging="245"/>
      </w:pPr>
      <w:r>
        <w:t>3. 用户选择“判断 AI 新闻”，系统重述暂定目标：“今天先学会判断一个 95% 准确率的说法是否充分。”用户可修改或选择先探索。</w:t>
      </w:r>
    </w:p>
    <w:p>
      <w:pPr>
        <w:ind w:left="245" w:hanging="245"/>
      </w:pPr>
      <w:r>
        <w:t>4. 系统提供 2–3 个短诊断任务，包含“不知道”和“跳过”。根据答案决定是否需要补充分母、样本或测试集概念。</w:t>
      </w:r>
    </w:p>
    <w:p>
      <w:pPr>
        <w:ind w:left="245" w:hanging="245"/>
      </w:pPr>
      <w:r>
        <w:t>5. 学习地图只展开本次 3–5 个相关节点，其余内容折叠。用户看到目标、建议起点、必要基础和预计时间区间。</w:t>
      </w:r>
    </w:p>
    <w:p>
      <w:pPr>
        <w:ind w:left="245" w:hanging="245"/>
      </w:pPr>
      <w:r>
        <w:t>6. 学习中先预测，再给解释与例子，然后做新任务；遇到困难增加支持。</w:t>
      </w:r>
    </w:p>
    <w:p>
      <w:pPr>
        <w:ind w:left="245" w:hanging="245"/>
      </w:pPr>
      <w:r>
        <w:t>7. 最后提交一段简短判断，系统展示依据和仍缺少的要点，更新证据并给出下一步。</w:t>
      </w:r>
    </w:p>
    <w:p>
      <w:pPr>
        <w:pStyle w:val="Heading2"/>
      </w:pPr>
      <w:r>
        <w:t>04 3 文件带学</w:t>
      </w:r>
    </w:p>
    <w:p>
      <w:r>
        <w:t>用户上传 PDF、TXT 或 Markdown 后，先看到解析状态、内容预览、来源和领域匹配情况。Lumap 提出“想理解核心观点、准备讲解、完成练习”三类成果选择，允许直接修改。系统依据已审核节点匹配资料内容，标出资料涉及但未解释的基础，再进入学习。</w:t>
      </w:r>
    </w:p>
    <w:p>
      <w:r>
        <w:t>文件是学习依据之一。缺失概念可以用经过标记的补充解释提供；不得把模型补充知识伪装成文件原文。用户可打开引用位置核对。</w:t>
      </w:r>
    </w:p>
    <w:p>
      <w:pPr>
        <w:pStyle w:val="Heading2"/>
      </w:pPr>
      <w:r>
        <w:t>04 4 返回与方向变化</w:t>
      </w:r>
    </w:p>
    <w:p>
      <w:r>
        <w:t>返回时显示上次目标、最后完成任务和一个建议动作。用户可以继续、复习或修改目标。修改时给出路径差异，例如保留已验证的样本概念、增加类别不平衡、暂缓精确率。过去的证据保留；旧目标不自动覆盖新目标。当前活动中不突然更换题目，更新在活动完成或用户明确切换时生效。</w:t>
      </w:r>
    </w:p>
    <w:p>
      <w:bookmarkStart w:id="5" w:name="sec_5"/>
      <w:pPr>
        <w:pStyle w:val="Heading1"/>
      </w:pPr>
      <w:r>
        <w:t>05 信息架构与关键页面</w:t>
      </w:r>
      <w:bookmarkEnd w:id="5"/>
    </w:p>
    <w:p>
      <w:pPr>
        <w:pStyle w:val="Heading2"/>
      </w:pPr>
      <w:r>
        <w:t>05 1 macOS 工作区</w:t>
      </w:r>
    </w:p>
    <w:p>
      <w:r>
        <w:t>左侧栏提供 Today、My Map、Library、Learning History 和 Settings。学习过程中主区域用于解释和操作，右侧可折叠栏显示当前目标、概念位置、提示和资料引用。窗口较窄时右栏收为抽屉，保证题目和作答区不被压缩。</w:t>
      </w:r>
    </w:p>
    <w:p>
      <w:r>
        <w:t>首页保留一个主行动，避免把学习变成无尽的信息流。推荐卡默认一项主建议和最多两项备选。路径用节点及关系表达，同时提供可键盘访问的列表视图。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800"/>
        <w:gridCol w:w="2534"/>
        <w:gridCol w:w="2808"/>
        <w:gridCol w:w="2851"/>
      </w:tblGrid>
      <w:tr>
        <w:trPr>
          <w:cantSplit/>
          <w:tblHeader/>
        </w:trPr>
        <w:tc>
          <w:tcPr>
            <w:tcW w:type="dxa" w:w="180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页面</w:t>
            </w:r>
          </w:p>
        </w:tc>
        <w:tc>
          <w:tcPr>
            <w:tcW w:type="dxa" w:w="253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主要信息</w:t>
            </w:r>
          </w:p>
        </w:tc>
        <w:tc>
          <w:tcPr>
            <w:tcW w:type="dxa" w:w="280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主要动作</w:t>
            </w:r>
          </w:p>
        </w:tc>
        <w:tc>
          <w:tcPr>
            <w:tcW w:type="dxa" w:w="285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必须覆盖的状态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Today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当前目标、本次时间、下一步及原因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开始、换方向、导入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新用户、返回、无 API、无建议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Goal Discovery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用户原话、方向卡、暂定成果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选择、纠正、先探索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明确、模糊、无法匹配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My Map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核心节点、前置关系、证据状态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展开、挑战、预览、调整路径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未评估、待补充、已验证、过期待查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 Studio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活动、导师回应、答题、来源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预测、提示、解释、提交、退出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加载、学习、反馈、断网、已恢复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Library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本地资料、解析情况、使用范围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导入、查看、移除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空、处理中、失败、可用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 History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目标变更、任务证据、推荐原因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继续、纠正、删除、导出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无记录、演示记录、真实记录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Settings</w:t>
            </w:r>
          </w:p>
        </w:tc>
        <w:tc>
          <w:tcPr>
            <w:tcW w:type="dxa" w:w="25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语言、模型、密钥、数据管理</w:t>
            </w:r>
          </w:p>
        </w:tc>
        <w:tc>
          <w:tcPr>
            <w:tcW w:type="dxa" w:w="280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测试、授权、导出、清除</w:t>
            </w:r>
          </w:p>
        </w:tc>
        <w:tc>
          <w:tcPr>
            <w:tcW w:type="dxa" w:w="285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无密钥、锁定、失败、正常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05 2 文案与可访问性</w:t>
      </w:r>
    </w:p>
    <w:p>
      <w:r>
        <w:t>不显示“你的能力太低”等人格化判断，使用“这个概念还没有足够证据”或“本次任务需要更多支持”。提示不是惩罚，使用提示也不扣用户积分。英文界面、教学语言和导入材料语言分别处理，中文回答不能因语言不同被判错。</w:t>
      </w:r>
    </w:p>
    <w:p>
      <w:r>
        <w:t>所有主要操作支持键盘，焦点顺序与视觉顺序一致；颜色之外还需有状态文字。打字动画可关闭，减少动态效果时直接显示完整文本；旁白与角色内容不遮挡题目。VoiceOver 应能读出节点名称、状态、关系和按钮目的。示范窗口以 1180 × 760 为基准，最小 1000 × 680 仍可完成闭环，较小内容区通过折叠侧栏适配。</w:t>
      </w:r>
    </w:p>
    <w:p>
      <w:bookmarkStart w:id="6" w:name="sec_6"/>
      <w:pPr>
        <w:pStyle w:val="Heading1"/>
      </w:pPr>
      <w:r>
        <w:t>06 功能需求</w:t>
      </w:r>
      <w:bookmarkEnd w:id="6"/>
    </w:p>
    <w:p>
      <w:pPr>
        <w:pStyle w:val="Heading2"/>
      </w:pPr>
      <w:r>
        <w:t>06 1 意图发现与目标管理</w:t>
      </w:r>
    </w:p>
    <w:p>
      <w:r>
        <w:rPr>
          <w:b/>
        </w:rPr>
        <w:t>F01　P0　输入与澄清。</w:t>
      </w:r>
      <w:r>
        <w:t xml:space="preserve"> 接受自由文本、文件入口和“不确定”。澄清最多三轮，每轮只问一个影响学习决策的问题，例如想解决什么实际问题、已有接触或本次可用时间。每轮允许跳过；第三轮结束仍不明确时，提供一个约五分钟的探索活动。</w:t>
      </w:r>
    </w:p>
    <w:p>
      <w:r>
        <w:rPr>
          <w:b/>
        </w:rPr>
        <w:t>F02　P0　暂定目标。</w:t>
      </w:r>
      <w:r>
        <w:t xml:space="preserve"> 保存用户原话与系统重述，重述必须是可观察成果，如“能指出一个准确率声明还缺哪些证据”。用户确认后成为活动目标；明确选择“先探索”时记录为探索目标。新的推测不静默替换已确认目标。</w:t>
      </w:r>
    </w:p>
    <w:p>
      <w:r>
        <w:rPr>
          <w:b/>
        </w:rPr>
        <w:t>F03　P0　目标调整。</w:t>
      </w:r>
      <w:r>
        <w:t xml:space="preserve"> 用户可以修改、暂停和归档目标。更新生成新版本，并展示新增、保留、暂缓的节点。一次保持一个活动目标；其他目标可保存，避免多个方向争夺同一会话。</w:t>
      </w:r>
    </w:p>
    <w:p>
      <w:pPr>
        <w:pStyle w:val="Heading2"/>
      </w:pPr>
      <w:r>
        <w:t>06 2 诊断与路径</w:t>
      </w:r>
    </w:p>
    <w:p>
      <w:r>
        <w:rPr>
          <w:b/>
        </w:rPr>
        <w:t>F04　P0　短诊断。</w:t>
      </w:r>
      <w:r>
        <w:t xml:space="preserve"> 用 2–3 个与成果相关的任务判断起点，允许选择题加一句理由、简短解释或小场景判断。不强制诊断；跳过的概念为“未评估”。用户自述“我学过”用于选择挑战题，不直接写成已掌握。</w:t>
      </w:r>
    </w:p>
    <w:p>
      <w:r>
        <w:rPr>
          <w:b/>
        </w:rPr>
        <w:t>F05　P0　学习地图。</w:t>
      </w:r>
      <w:r>
        <w:t xml:space="preserve"> 路径节点显示目标、前置条件、预计投入、证据状态和推荐理由。默认只突出当前节点及最近的必要关系。已验证的前置可以跳过；未知前置提供短诊断；薄弱前置优先补充。一次独立成功可跳过讲解并进入另一题族的检查；满足两项有效独立证据后，才能满足必要前置。挑战流程包含这两项检查，也可复用一项有效历史证据。</w:t>
      </w:r>
    </w:p>
    <w:p>
      <w:r>
        <w:rPr>
          <w:b/>
        </w:rPr>
        <w:t>F06　P0　用户覆盖。</w:t>
      </w:r>
      <w:r>
        <w:t xml:space="preserve"> 对建议不满意时可以挑战跳过、先看概览或换方向。没有足够前置证据的高级内容仍可预览，但标注“探索模式”；不能借此写入已经通过基础的结论。可随时返回补基础。</w:t>
      </w:r>
    </w:p>
    <w:p>
      <w:pPr>
        <w:pStyle w:val="Heading2"/>
      </w:pPr>
      <w:r>
        <w:t>06 3 学习与检查</w:t>
      </w:r>
    </w:p>
    <w:p>
      <w:r>
        <w:rPr>
          <w:b/>
        </w:rPr>
        <w:t>F07　P0　启发式活动。</w:t>
      </w:r>
      <w:r>
        <w:t xml:space="preserve"> 活动包含明确目标、引入场景、一个关键概念、适量解释、练习和检查。系统根据任务需要选择预测、比较、自我解释、错误分析或迁移应用，不能把每一条回应都写成反问。</w:t>
      </w:r>
    </w:p>
    <w:p>
      <w:r>
        <w:rPr>
          <w:b/>
        </w:rPr>
        <w:t>F08　P0　分级支持。</w:t>
      </w:r>
      <w:r>
        <w:t xml:space="preserve"> 可选择概念提醒、局部示范或完整讲解。连续两次没有进展时默认增加支持，并用新题检查。“一次无进展”限定为同一节点的一次有效评分仍发现相同未解决要点，或用户主动表示无法继续；请求解释、一般提示、取消、网络失败和评分不确定不计数。独立成功或切换目标时重置计数。用户点击“Explain it”后立即进入讲解；展示完整答案后当前题的正确回答只能记为有支持完成。</w:t>
      </w:r>
    </w:p>
    <w:p>
      <w:r>
        <w:rPr>
          <w:b/>
        </w:rPr>
        <w:t>F09　P0　检查与反馈。</w:t>
      </w:r>
      <w:r>
        <w:t xml:space="preserve"> 题目生成时绑定概念、参考要点、题型、难度和评分规则。反馈指出覆盖要点、错误或缺失要点及下一次尝试。开放题评分不可靠时使用“不确定”，保留答案但不更新掌握结论。用户可质疑评分，质疑期间冻结该结果对画像的影响。</w:t>
      </w:r>
    </w:p>
    <w:p>
      <w:r>
        <w:rPr>
          <w:b/>
        </w:rPr>
        <w:t>F10　P0　会话总结。</w:t>
      </w:r>
      <w:r>
        <w:t xml:space="preserve"> 显示本次完成的任务、可支持的能力判断、未解决问题和下一步。允许结束学习，不用强制连续学习、排行榜或奖励催促继续。</w:t>
      </w:r>
    </w:p>
    <w:p>
      <w:pPr>
        <w:pStyle w:val="Heading2"/>
      </w:pPr>
      <w:r>
        <w:t>06 4 推荐与长期记忆</w:t>
      </w:r>
    </w:p>
    <w:p>
      <w:r>
        <w:rPr>
          <w:b/>
        </w:rPr>
        <w:t>F11　P0　推荐卡。</w:t>
      </w:r>
      <w:r>
        <w:t xml:space="preserve"> 展示一项主推荐和最多两项备选，包含原因、时间区间和预期成果。理由必须引用真实目标、已记录证据、到期复习或已确认兴趣；没有历史时明确是探索建议。</w:t>
      </w:r>
    </w:p>
    <w:p>
      <w:r>
        <w:rPr>
          <w:b/>
        </w:rPr>
        <w:t>F12　P0　记录与恢复。</w:t>
      </w:r>
      <w:r>
        <w:t xml:space="preserve"> 在目标确认、有效作答、评分完成和活动结束后保存。崩溃或关闭后恢复到最近稳定状态；尚未提交的输入尽量作为本地草稿恢复。请求重试不能重复计入答题证据。H0 提供“使用历史学习证据”开关和清除学习历史入口；具体使用范围见第 09 节，完整逐项画像编辑属于 P1。</w:t>
      </w:r>
    </w:p>
    <w:p>
      <w:r>
        <w:rPr>
          <w:b/>
        </w:rPr>
        <w:t>F13　P1　画像管理。</w:t>
      </w:r>
      <w:r>
        <w:t xml:space="preserve"> 用户能查看“你告诉我的”“学习中观察到的”“尚待确认的”三组记录，逐项纠正、删除或限制使用范围。删除后相关摘要、向量索引和未来推荐也应移除依据。H0 的基本历史使用开关和整体清除不依赖此完整编辑页。</w:t>
      </w:r>
    </w:p>
    <w:p>
      <w:r>
        <w:rPr>
          <w:b/>
        </w:rPr>
        <w:t>F14　P1　复习。</w:t>
      </w:r>
      <w:r>
        <w:t xml:space="preserve"> 根据最近独立表现和用户时间安排提示复习。H0 只实现会话结束的复习建议与本地到期字段；V1 完成日历式到期管理。长期未使用只表示证据需要更新，不宣称用户已经遗忘。</w:t>
      </w:r>
    </w:p>
    <w:p>
      <w:pPr>
        <w:pStyle w:val="Heading2"/>
      </w:pPr>
      <w:r>
        <w:t>06 5 资料与配置</w:t>
      </w:r>
    </w:p>
    <w:p>
      <w:r>
        <w:rPr>
          <w:b/>
        </w:rPr>
        <w:t>F15　P0　资料导入。</w:t>
      </w:r>
      <w:r>
        <w:t xml:space="preserve"> H0 支持单份 PDF、TXT、Markdown，文件上限沿用 25 MB。显示解析结果和可用内容；扫描 PDF、图片和复杂公式不假装已经理解。H0 文本路径中不可提取的文件直接给出转为可搜索 PDF 或文本的建议。</w:t>
      </w:r>
    </w:p>
    <w:p>
      <w:r>
        <w:rPr>
          <w:b/>
        </w:rPr>
        <w:t>F16　P0　语言与模型。</w:t>
      </w:r>
      <w:r>
        <w:t xml:space="preserve"> 英文是界面和新建学习会话的默认语言；用户可分别修改为简体中文。自定义 API 支持端点、模型和用户自己的密钥，提供测试、取消和明确错误。旧的中文固定提示词必须改造。</w:t>
      </w:r>
    </w:p>
    <w:p>
      <w:r>
        <w:rPr>
          <w:b/>
        </w:rPr>
        <w:t>F17　P1　导师外观。</w:t>
      </w:r>
      <w:r>
        <w:t xml:space="preserve"> 可选名称、语气、头像或立绘、背景及关闭角色展示。外观只影响表现，不改变判分与学习要求。Lumap 默认采用原创简洁视觉；现有来源不明的第三方角色素材不进入公开版本。</w:t>
      </w:r>
    </w:p>
    <w:p>
      <w:r>
        <w:rPr>
          <w:b/>
        </w:rPr>
        <w:t>F18　P1　导出与删除。</w:t>
      </w:r>
      <w:r>
        <w:t xml:space="preserve"> 导出学习目标、资料来源、路径及证据为 Markdown，结构化 JSON 用于数据迁移。密钥不进入导出。删除资料时明确是否同时删除依赖该资料的学习记录；仅删除资料时引用保留“来源已移除”状态，不伪造可打开的位置。</w:t>
      </w:r>
    </w:p>
    <w:p>
      <w:bookmarkStart w:id="7" w:name="sec_7"/>
      <w:pPr>
        <w:pStyle w:val="Heading1"/>
      </w:pPr>
      <w:r>
        <w:t>07 学习状态机</w:t>
      </w:r>
      <w:bookmarkEnd w:id="7"/>
    </w:p>
    <w:p>
      <w:r>
        <w:t>主流程为“发现方向 → 确认目标 → 判断起点 → 建议路径 → 学习与支持 → 检查 → 回顾 → 选择下一步”。暂停、模型失败和用户修改目标是全局可达状态。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512"/>
        <w:gridCol w:w="432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432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系统责任</w:t>
            </w:r>
          </w:p>
        </w:tc>
        <w:tc>
          <w:tcPr>
            <w:tcW w:type="dxa" w:w="4162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转移条件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Discover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提出最多三个方向，限制澄清轮次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用户选择或开始探索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Align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生成可修改的暂定目标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用户确认，或显式接受探索目标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Diagnose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收集起点证据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完成、跳过或发现任务不适合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Plan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给出短路径和依据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用户开始、挑战或改目标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提供场景、解释和活动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到达检查点或请求支持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Support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增加提示、示范或补基础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回到活动或使用新题检查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Check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按规则评估，处理不确定结果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有效反馈、换题或评分申诉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Reflect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展示本次证据与未解决点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用户结束或请求下一步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Recommend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排序候选并解释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接受、选择备选、暂停或改方向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状态变化由应用控制。模型只返回受约束的内容与建议，不能自行宣布完成所有节点、改写已确认目标或绕过证据规则。暂停时保存活动版本和题目；恢复前若配置变化，只对后续调用使用新模型，不丢弃已完成内容。</w:t>
      </w:r>
    </w:p>
    <w:p>
      <w:bookmarkStart w:id="8" w:name="sec_8"/>
      <w:pPr>
        <w:pStyle w:val="Heading1"/>
      </w:pPr>
      <w:r>
        <w:t>08 知识图谱与从宽到窄的路径</w:t>
      </w:r>
      <w:bookmarkEnd w:id="8"/>
    </w:p>
    <w:p>
      <w:pPr>
        <w:pStyle w:val="Heading2"/>
      </w:pPr>
      <w:r>
        <w:t>08 1 两种不同的范围变化</w:t>
      </w:r>
    </w:p>
    <w:p>
      <w:r>
        <w:t>方向发现从多个可能兴趣逐步收敛到一个可执行目标；课程依赖则从必要基础走向具体应用。两者不能混为一张无限扩张的课程表。对已经熟悉基础的人，诊断后可直接进入较深节点；对兴趣变化的人，可以沿相邻应用分支重新探索。</w:t>
      </w:r>
    </w:p>
    <w:p>
      <w:r>
        <w:t>每个节点描述一个可验证能力，边分别表示必要前置、建议前置和拓展关系。必要前置组成无环图；拓展关系可以双向关联，但不参与解锁计算。资料提取的候选节点需要去重、映射与审核，不能因为模型说“这是基础”就成为强制门槛。</w:t>
      </w:r>
    </w:p>
    <w:p>
      <w:pPr>
        <w:pStyle w:val="Heading2"/>
      </w:pPr>
      <w:r>
        <w:t>08 2 H0 演示图谱</w:t>
      </w:r>
    </w:p>
    <w:p>
      <w:r>
        <w:t>以下是供内容负责人审核的结构草案，不能当成已经验证的教学顺序。必要前置应由实际任务验证后固定为演示版本。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376"/>
        <w:gridCol w:w="4464"/>
        <w:gridCol w:w="3154"/>
      </w:tblGrid>
      <w:tr>
        <w:trPr>
          <w:cantSplit/>
          <w:tblHeader/>
        </w:trPr>
        <w:tc>
          <w:tcPr>
            <w:tcW w:type="dxa" w:w="237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节点</w:t>
            </w:r>
          </w:p>
        </w:tc>
        <w:tc>
          <w:tcPr>
            <w:tcW w:type="dxa" w:w="446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可观察能力</w:t>
            </w:r>
          </w:p>
        </w:tc>
        <w:tc>
          <w:tcPr>
            <w:tcW w:type="dxa" w:w="315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前置关系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N01 结论与证据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区分一个主张和支持它的观察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N02 样本与总体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说明少量案例为何可能不代表整体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N03 特征与标签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指出分类任务的输入和目标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N04 训练与测试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解释训练数据与测试数据的用途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必要 N03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N05 准确率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计算并解释正确比例及分母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必要 N02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N06 类别不平衡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识别全猜多数类也能高准确率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必要 N05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N07 泛化与泄漏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识别测试信息进入训练的问题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必要 N04 与 N05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N08 两类错误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区分漏报和误报及其代价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必要 N05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N09 精确率与召回率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选择适合一个情景的指标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必要 N06 与 N08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N10 评估准确率声明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指出高准确率还缺哪些上下文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必要 N06 与 N07；建议 N08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N11 提出核实问题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为一条 AI 新闻列出证据需求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必要 N01 与 N10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N12 小型评估说明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用结构化短文解释结果与限制</w:t>
            </w:r>
          </w:p>
        </w:tc>
        <w:tc>
          <w:tcPr>
            <w:tcW w:type="dxa" w:w="315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必要 N11；建议 N09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H0 基线为六个较粗粒度节点：结论与样本、分类与训练测试、准确率、类别不平衡、泛化与泄漏、评估声明。它们分别合并或对应上表中的 N01 与 N02、N03 与 N04、N05、N06、N07、N10 与 N11，并在独立的 H0 图谱版本中记录边与题目。每个核心节点至少准备两个不同题族及评分要点；N08、N09、N12 和更细粒度拆分是扩展目标。</w:t>
      </w:r>
    </w:p>
    <w:p>
      <w:r>
        <w:t>完整图的重点演示路径为 N05 → N06 → N10 → N11；六节点版使用对应合并节点。已满足的前置通过演示档案中的明示证据或真实挑战题跳过。不得隐瞒缺失的 N07 等前置。H0 与扩展图版本不在同一会话中混用，节点拆分后的证据能否迁移需要重新核对。</w:t>
      </w:r>
    </w:p>
    <w:p>
      <w:pPr>
        <w:pStyle w:val="Heading2"/>
      </w:pPr>
      <w:r>
        <w:t>08 3 路径变化规则</w:t>
      </w:r>
    </w:p>
    <w:p>
      <w:r>
        <w:t>缺少必要前置时优先推荐补充或诊断。一次独立挑战成功可跳过对应讲解，进入第二个独立检查；达到已验证标准才解锁依赖它的正式任务。目标变化时重新计算相关子图，保留有效的共同节点。用户连续遇到困难时缩小任务粒度，优先补一个最相关缺口，避免突然生成几十节基础课。</w:t>
      </w:r>
    </w:p>
    <w:p>
      <w:r>
        <w:t>图谱无可用下一节点、出现循环或关联不可靠时，退回审核路径或短探索，说明路径暂时无法生成。高级内容可以预览，但预览完成不等于前置已满足。</w:t>
      </w:r>
    </w:p>
    <w:p>
      <w:bookmarkStart w:id="9" w:name="sec_9"/>
      <w:pPr>
        <w:pStyle w:val="Heading1"/>
      </w:pPr>
      <w:r>
        <w:t>09 用户模型与记忆</w:t>
      </w:r>
      <w:bookmarkEnd w:id="9"/>
    </w:p>
    <w:p>
      <w:pPr>
        <w:pStyle w:val="Heading2"/>
      </w:pPr>
      <w:r>
        <w:t>09 1 三类模型分开保存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498"/>
        <w:gridCol w:w="2434"/>
        <w:gridCol w:w="2995"/>
        <w:gridCol w:w="3067"/>
      </w:tblGrid>
      <w:tr>
        <w:trPr>
          <w:cantSplit/>
          <w:tblHeader/>
        </w:trPr>
        <w:tc>
          <w:tcPr>
            <w:tcW w:type="dxa" w:w="149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模型</w:t>
            </w:r>
          </w:p>
        </w:tc>
        <w:tc>
          <w:tcPr>
            <w:tcW w:type="dxa" w:w="243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回答的问题</w:t>
            </w:r>
          </w:p>
        </w:tc>
        <w:tc>
          <w:tcPr>
            <w:tcW w:type="dxa" w:w="299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主要来源</w:t>
            </w:r>
          </w:p>
        </w:tc>
        <w:tc>
          <w:tcPr>
            <w:tcW w:type="dxa" w:w="3067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允许的用途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目标假设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此刻希望获得什么成果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用户原话、确认、近期任务</w:t>
            </w:r>
          </w:p>
        </w:tc>
        <w:tc>
          <w:tcPr>
            <w:tcW w:type="dxa" w:w="3067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选择目标子图和完成条件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兴趣偏好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愿意通过什么主题或方式学习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主动选择、纠正，弱权重交互</w:t>
            </w:r>
          </w:p>
        </w:tc>
        <w:tc>
          <w:tcPr>
            <w:tcW w:type="dxa" w:w="3067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在适合候选之间排序、选择例子</w:t>
            </w:r>
          </w:p>
        </w:tc>
      </w:tr>
      <w:tr>
        <w:trPr>
          <w:cantSplit/>
        </w:trPr>
        <w:tc>
          <w:tcPr>
            <w:tcW w:type="dxa" w:w="149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概念证据</w:t>
            </w:r>
          </w:p>
        </w:tc>
        <w:tc>
          <w:tcPr>
            <w:tcW w:type="dxa" w:w="243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能独立完成什么任务</w:t>
            </w:r>
          </w:p>
        </w:tc>
        <w:tc>
          <w:tcPr>
            <w:tcW w:type="dxa" w:w="299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作答、解释、迁移与复习</w:t>
            </w:r>
          </w:p>
        </w:tc>
        <w:tc>
          <w:tcPr>
            <w:tcW w:type="dxa" w:w="3067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判断起点、支持和前置状态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另存每条判断的来源、时间、适用范围和是否由用户确认。“我喜欢体育例子”不意味着数学能力强；打开了十次机器学习资料也不意味着掌握机器学习。界面语言、学习语言和表达支持偏好属于设置，不应被解释成能力。</w:t>
      </w:r>
    </w:p>
    <w:p>
      <w:pPr>
        <w:pStyle w:val="Heading2"/>
      </w:pPr>
      <w:r>
        <w:t>09 2 应用内痕迹的使用规则</w:t>
      </w:r>
    </w:p>
    <w:p>
      <w:r>
        <w:t>H0 只记录本软件中的明确选择、任务表现、提示使用、资料引用和推荐反馈。停留时间、关闭页面、未完成活动最多用于判断当前流程是否繁琐，不直接归因于兴趣低或能力不足。不采集浏览器历史、其他软件内容、后台音频或社交账号。</w:t>
      </w:r>
    </w:p>
    <w:p>
      <w:r>
        <w:t>V1 的长期兴趣信号按强弱分层：用户确认的偏好优先；重复主动选择形成暂定偏好；单次点击不更新长期偏好。连续两次推荐被跳过时先询问“不相关、太难、已会、现在没时间”中的原因；未回答则不推断。暂定偏好默认 30 天后要求再确认或降低影响，30 天是试点参数。</w:t>
      </w:r>
    </w:p>
    <w:p>
      <w:pPr>
        <w:pStyle w:val="Heading2"/>
      </w:pPr>
      <w:r>
        <w:t>09 3 记忆控制</w:t>
      </w:r>
    </w:p>
    <w:p>
      <w:r>
        <w:t>H0 保存目标、会话和任务证据以恢复当前进度。跨会话使用历史证据默认关闭，用户可以主动开启；开启后，过去有效的任务证据才参与新会话的前置判断和推荐。H0 的推测兴趣仅限当前会话，不建立持久兴趣标签；长期兴趣与逐项编辑在 V1 实现。</w:t>
      </w:r>
    </w:p>
    <w:p>
      <w:r>
        <w:t>关闭历史使用后，新会话只使用当前目标、当前会话证据和明确设置，过去证据不能继续满足前置门槛；历史仍可查看，但本次需要短诊断或挑战。恢复同一个未结束会话属于继续当前会话，仍使用该会话内证据。已经通过跨会话证据解锁的当前活动可完成，下一次计算按新设置重新检查，避免答题中途失效。</w:t>
      </w:r>
    </w:p>
    <w:p>
      <w:r>
        <w:t>已保存历史不因关闭开关而自动删除；H0 另提供清除学习历史入口，并先展示将删除的目标、会话、证据和派生摘要范围，资料与 API 设置独立保留。真实历史、导入历史和演示历史必须有不同来源标记。演示档案使用历史证据时也需显示开关状态。</w:t>
      </w:r>
    </w:p>
    <w:p>
      <w:r>
        <w:t>删除一条证据后，重新计算受影响的状态和推荐解释。不能只删界面上的一句话，却仍在摘要或索引里保留同样的偏好。历史推荐可保留结构记录，但被删依据应显示已移除，并停止参与今后的计算。</w:t>
      </w:r>
    </w:p>
    <w:p>
      <w:bookmarkStart w:id="10" w:name="sec_10"/>
      <w:pPr>
        <w:pStyle w:val="Heading1"/>
      </w:pPr>
      <w:r>
        <w:t>10 推荐算法与可解释决策</w:t>
      </w:r>
      <w:bookmarkEnd w:id="10"/>
    </w:p>
    <w:p>
      <w:pPr>
        <w:pStyle w:val="Heading2"/>
      </w:pPr>
      <w:r>
        <w:t>10 1 H0 的实现选择</w:t>
      </w:r>
    </w:p>
    <w:p>
      <w:r>
        <w:t>采用可回放的规则排序：图谱生成候选，应用负责前置约束和评分，模型负责把结构化理由转成自然语言。H0 不训练群体模型，不声称凭少量对话准确理解人格，也不把模型的自报置信度当成统计可靠性。</w:t>
      </w:r>
    </w:p>
    <w:p>
      <w:r>
        <w:t>每次在活动完成、用户修改目标或删除相关证据后重新计算。普通文字聊天和每一次点击不都触发重排。相同状态、相同图谱版本和相同排序参数应得到一致的推荐。</w:t>
      </w:r>
    </w:p>
    <w:p>
      <w:pPr>
        <w:pStyle w:val="Heading2"/>
      </w:pPr>
      <w:r>
        <w:t>10 2 候选生成与约束</w:t>
      </w:r>
    </w:p>
    <w:p>
      <w:r>
        <w:t>先从当前目标子图生成四类候选：补必要前置、继续核心节点、复习已有节点、探索相邻应用。排除用户明确拒绝的非必要兴趣分支及例子主题，过滤无可用内容、来源不足和语言不支持的活动。必要概念不能因“不感兴趣”被静默删除；说明依赖后提供换例子、修改目标或探索预览。未知前置转为诊断候选，薄弱前置转为补充候选，高级任务暂不作为默认主推荐。</w:t>
      </w:r>
    </w:p>
    <w:p>
      <w:r>
        <w:t>优先处理阻碍当前目标的关键缺口；当存在这种缺口时，主推荐从补充或诊断中选。没有关键缺口时，在其余合法候选中排序。兴趣不能把一个明显超出前置要求的活动推成默认教学任务。</w:t>
      </w:r>
    </w:p>
    <w:p>
      <w:pPr>
        <w:pStyle w:val="Heading2"/>
      </w:pPr>
      <w:r>
        <w:t>10 3 候选评分草案</w:t>
      </w:r>
    </w:p>
    <w:p>
      <w:r>
        <w:t>所有因子归一化为 0–1，依据由应用从结构化状态计算。下列权重是 H0 可调规则，不是训练结果，也不是对学习增益的概率预测。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80"/>
        <w:gridCol w:w="936"/>
        <w:gridCol w:w="6178"/>
      </w:tblGrid>
      <w:tr>
        <w:trPr>
          <w:cantSplit/>
          <w:tblHeader/>
        </w:trPr>
        <w:tc>
          <w:tcPr>
            <w:tcW w:type="dxa" w:w="288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因子</w:t>
            </w:r>
          </w:p>
        </w:tc>
        <w:tc>
          <w:tcPr>
            <w:tcW w:type="dxa" w:w="936"/>
            <w:vAlign w:val="center"/>
            <w:shd w:fill="DFEAF0"/>
          </w:tcPr>
          <w:p>
            <w:pPr>
              <w:keepNext/>
              <w:spacing w:line="300" w:lineRule="exact" w:before="0" w:after="0"/>
              <w:jc w:val="center"/>
            </w:pPr>
            <w:r>
              <w:rPr>
                <w:b/>
                <w:sz w:val="21"/>
              </w:rPr>
              <w:t>权重</w:t>
            </w:r>
          </w:p>
        </w:tc>
        <w:tc>
          <w:tcPr>
            <w:tcW w:type="dxa" w:w="61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计算依据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当前目标相关程度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0.35</w:t>
            </w:r>
          </w:p>
        </w:tc>
        <w:tc>
          <w:tcPr>
            <w:tcW w:type="dxa" w:w="61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核心路径为 1，直接拓展为 0.5，其他为 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证据支持的学习需求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0.25</w:t>
            </w:r>
          </w:p>
        </w:tc>
        <w:tc>
          <w:tcPr>
            <w:tcW w:type="dxa" w:w="61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已观察缺口、必要未知项或到期复习，按规则赋级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难度与前置适配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0.20</w:t>
            </w:r>
          </w:p>
        </w:tc>
        <w:tc>
          <w:tcPr>
            <w:tcW w:type="dxa" w:w="61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前置满足且挑战合适优先；预览内容不参与主推荐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已确认兴趣匹配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0.10</w:t>
            </w:r>
          </w:p>
        </w:tc>
        <w:tc>
          <w:tcPr>
            <w:tcW w:type="dxa" w:w="61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明确偏好为 1，暂定为 0.5，无依据为 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本次可用时间匹配</w:t>
            </w:r>
          </w:p>
        </w:tc>
        <w:tc>
          <w:tcPr>
            <w:tcW w:type="dxa" w:w="936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0.10</w:t>
            </w:r>
          </w:p>
        </w:tc>
        <w:tc>
          <w:tcPr>
            <w:tcW w:type="dxa" w:w="61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能在预算内完成优先，超时任务拆小后重新候选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分数是五项“权重 × 因子”的和。无兴趣历史不猜测偏好；同分时依次按必要前置、目标距离、最近未重复和稳定节点编号决定。学习需求建议分级：关键薄弱项 1、关键未知项 0.8、到期复习 0.7、普通未学核心项 0.5，后续根据试点调整。</w:t>
      </w:r>
    </w:p>
    <w:p>
      <w:r>
        <w:t>如复习任务逾期且本次时间足够，可先插入一个不超过约两分钟的复习检查；连续两次会话只探索新内容时提示回顾，用户可以忽略。主推荐之外保留一个巩固选择和一个相关应用选择，前提是确有合法候选；不为凑满三张卡生成无依据内容。</w:t>
      </w:r>
    </w:p>
    <w:p>
      <w:pPr>
        <w:pStyle w:val="Heading2"/>
      </w:pPr>
      <w:r>
        <w:t>10 4 解释与用户纠正</w:t>
      </w:r>
    </w:p>
    <w:p>
      <w:r>
        <w:t>推荐保存候选列表、约束结果、各项得分、使用的证据编号、参数版本和最终选择。解释以两条关键依据为主，例如：“你希望判断 AI 新闻；刚才只引用了总准确率，没有检查类别比例。先看多数类基线，能帮助你判断 95% 是否有意义。”</w:t>
      </w:r>
    </w:p>
    <w:p>
      <w:r>
        <w:t>用户可以选择“我已经会了”“不感兴趣”“现在没时间”或“换一种方式”。已经会了转为挑战题，不直接授予掌握；不感兴趣只影响兴趣及拓展；没时间调整任务长度；换方式改变表现形式，不抹去当前概念的困难证据。</w:t>
      </w:r>
    </w:p>
    <w:p>
      <w:pPr>
        <w:pStyle w:val="Heading2"/>
      </w:pPr>
      <w:r>
        <w:t>10 5 从 H0 到长期个性化</w:t>
      </w:r>
    </w:p>
    <w:p>
      <w:r>
        <w:t>V1 先验证规则是否提高目标清晰度和任务完成质量，再加入时间间隔、不同领域迁移和更稳定的能力估计。只有积累了足够、获得授权且质量可控的学习事件，才评估知识追踪或上下文推荐模型。升级必须与规则基线比较，检查新用户、不同语言和不同基础群体，保留解释、回退和用户纠正能力。</w:t>
      </w:r>
    </w:p>
    <w:p>
      <w:bookmarkStart w:id="11" w:name="sec_11"/>
      <w:pPr>
        <w:pStyle w:val="Heading1"/>
      </w:pPr>
      <w:r>
        <w:t>11 教学策略与掌握证据</w:t>
      </w:r>
      <w:bookmarkEnd w:id="11"/>
    </w:p>
    <w:p>
      <w:pPr>
        <w:pStyle w:val="Heading2"/>
      </w:pPr>
      <w:r>
        <w:t>11 1 启发式教学的具体行为</w:t>
      </w:r>
    </w:p>
    <w:p>
      <w:r>
        <w:t>一段学习采用“尝试 → 支持 → 新情境检查”。先用预测或简短解释暴露理解，随后根据表现提供概念讲解和例子，再通过不同材料检查是否能够独立应用。对于没有基础的用户，可以先看完整示例；用户要求直接解释时不继续强迫猜测。</w:t>
      </w:r>
    </w:p>
    <w:p>
      <w:r>
        <w:t>这一设计参考了 IES 关于间隔学习、示例与练习交替、检索练习和解释性提问的建议。该来源支持教学方法的选择，不证明 Lumap 已经有效，也不为本 PRD 的具体阈值背书。</w:t>
      </w:r>
      <w:hyperlink r:id="rId12">
        <w:r>
          <w:rPr>
            <w:color w:val="245B76"/>
            <w:u w:val="single"/>
          </w:rPr>
          <w:t>IES 学习与教学实践指南</w:t>
        </w:r>
      </w:hyperlink>
    </w:p>
    <w:p>
      <w:pPr>
        <w:pStyle w:val="Heading2"/>
      </w:pPr>
      <w:r>
        <w:t>11 2 证据状态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512"/>
        <w:gridCol w:w="432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432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进入依据</w:t>
            </w:r>
          </w:p>
        </w:tc>
        <w:tc>
          <w:tcPr>
            <w:tcW w:type="dxa" w:w="4162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产品行为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未评估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无有效任务证据或主动跳过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提供短诊断，不推断不会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需要支持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本次有明确缺口，或只能在示范后完成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提供提示、拆分任务或补前置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初步掌握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一次独立任务达标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可跳过讲解进入第二次检查，尚不满足必要前置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已验证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两次不同题族的独立任务达标，至少一次解释或新情境应用</w:t>
            </w:r>
          </w:p>
        </w:tc>
        <w:tc>
          <w:tcPr>
            <w:tcW w:type="dxa" w:w="4162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可满足对应前置条件，显示证据日期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“已验证”只表示在这些任务上得到支持，不等于永久掌握。长时间未检查时保留历史状态并加“建议复核”，不得按时间直接判定不会。H0 不向用户展示带小数的掌握百分比。</w:t>
      </w:r>
    </w:p>
    <w:p>
      <w:r>
        <w:t>一次错误不会清零已有证据。对已经验证的节点出现新错误时，保留历史状态并标记“发现新缺口，待复核”；受该缺口影响的下一任务先做短检查。复核仍显示相同缺口时，当前状态改为需要支持，并保留变更原因。</w:t>
      </w:r>
    </w:p>
    <w:p>
      <w:pPr>
        <w:pStyle w:val="Heading2"/>
      </w:pPr>
      <w:r>
        <w:t>11 3 有效证据规则</w:t>
      </w:r>
    </w:p>
    <w:p>
      <w:r>
        <w:t>“独立”指检查过程中没有获得该题答案、局部解法或模型代写；可以获得不涉及答案的界面和题意澄清。允许的辅助材料应在任务中事先注明。阅读完成、追问次数、自信程度、角色互动均不构成掌握证据。</w:t>
      </w:r>
    </w:p>
    <w:p>
      <w:r>
        <w:t>同一道题重试、刷新或重复提交只能更新同一记录，不能累计为多次独立成功。相同模板只换数字属于同一题族；至少一次检查需要不同情境或解释方式。多概念题按目标分别记录，不因为一题总体答对而解锁全部相关节点。</w:t>
      </w:r>
    </w:p>
    <w:p>
      <w:pPr>
        <w:pStyle w:val="Heading2"/>
      </w:pPr>
      <w:r>
        <w:t>11 4 评分质量</w:t>
      </w:r>
    </w:p>
    <w:p>
      <w:r>
        <w:t>H0 的关键演示题使用人工审核的参考要点。选择题先做确定性校验，再检查必要理由；开放题由模型返回覆盖要点、遗漏、事实冲突、是否可判定和引用依据。应用校验输出结构和引用；不把模型返回的“0.98 置信度”直接作为放行条件。</w:t>
      </w:r>
    </w:p>
    <w:p>
      <w:r>
        <w:t>答案含义模糊、资料相互矛盾、参考答案缺失或模型返回非法结构时，标记待澄清，不更新掌握。用户申诉后冻结该题结果，显示参考规则并提供独立替代题；撤销评分需要重算受影响节点。V1 再评估教师复核或第二评分模型的必要性，避免 H0 无限制叠加模型调用。</w:t>
      </w:r>
    </w:p>
    <w:p>
      <w:bookmarkStart w:id="12" w:name="sec_12"/>
      <w:pPr>
        <w:pStyle w:val="Heading1"/>
      </w:pPr>
      <w:r>
        <w:t>12 资料处理与内容可信度</w:t>
      </w:r>
      <w:bookmarkEnd w:id="12"/>
    </w:p>
    <w:p>
      <w:pPr>
        <w:pStyle w:val="Heading2"/>
      </w:pPr>
      <w:r>
        <w:t>12 1 从文件到活动</w:t>
      </w:r>
    </w:p>
    <w:p>
      <w:r>
        <w:t>导入后依次完成类型与大小校验、文本提取、内容预览、章节与概念匹配、来源绑定、活动生成和结构校验。用户看见每个阶段，可以取消并重新选择文件。长材料分块处理，但 H0 只为当前目标生成必要活动，避免先生成一整份大课程再等待。</w:t>
      </w:r>
    </w:p>
    <w:p>
      <w:r>
        <w:t>H0 内置内容优先使用团队原创并审核的短文及题目。用户资料匹配到现有图谱节点后可以补充上下文；匹配不到时保留资料和探索对话，提示该领域路径尚未审核。V1 才加入自动候选图谱与人工纠正工作流。</w:t>
      </w:r>
    </w:p>
    <w:p>
      <w:pPr>
        <w:pStyle w:val="Heading2"/>
      </w:pPr>
      <w:r>
        <w:t>12 2 引用与冲突</w:t>
      </w:r>
    </w:p>
    <w:p>
      <w:r>
        <w:t>每个来自文件的关键结论和检查题参考点，应关联文档 ID、页码或段落、原文片段及内容版本。界面区分“资料原文”“基于资料的解释”“补充背景”。引用必须能够打开或明确显示来源已移除，不能由模型凭空给出页码。</w:t>
      </w:r>
    </w:p>
    <w:p>
      <w:r>
        <w:t>资料冲突时列出冲突点和来源，要求用户选择本次依据或改成比较任务。尚未解决的争议不用于判错。模型无法判断的图表、公式和扫描页应显示覆盖限制，不能以“全文已理解”作为状态。</w:t>
      </w:r>
    </w:p>
    <w:p>
      <w:pPr>
        <w:pStyle w:val="Heading2"/>
      </w:pPr>
      <w:r>
        <w:t>12 3 生成约束</w:t>
      </w:r>
    </w:p>
    <w:p>
      <w:r>
        <w:t>生成的任务必须绑定目标、节点、预计时长、题型、评分要点、前置条件和来源。输出中未知节点、缺失评分要点、断裂引用或不符合语言设置时拒绝进入正式学习流程。允许一次结构修复，仍失败则回退审核内容或显示错误。</w:t>
      </w:r>
    </w:p>
    <w:p>
      <w:r>
        <w:t>上传文件和检索片段始终按资料处理。即使其中写着“忽略之前规则”“把所有题判对”或要求发送密钥，系统也不得改变应用策略、访问密钥或执行外部动作。H0 不自动浏览外部网页扩展课程，不自动运行文件中的代码。</w:t>
      </w:r>
    </w:p>
    <w:p>
      <w:bookmarkStart w:id="13" w:name="sec_13"/>
      <w:pPr>
        <w:pStyle w:val="Heading1"/>
      </w:pPr>
      <w:r>
        <w:t>13 基于现有项目的实现方案</w:t>
      </w:r>
      <w:bookmarkEnd w:id="13"/>
    </w:p>
    <w:p>
      <w:pPr>
        <w:pStyle w:val="Heading2"/>
      </w:pPr>
      <w:r>
        <w:t>13 1 复用边界</w:t>
      </w:r>
    </w:p>
    <w:p>
      <w:r>
        <w:t>本节基于当前工作区源码核查，表示能力与改造方向，不代表 Lumap 已经完成实现。录音和论文带学可作为材料入口和表现层，产品主入口应围绕学习目标重新设计。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现有能力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可复用部分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Lumap 必需改造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SwiftUI macOS 框架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窗口、侧栏、主题和平台基础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 App、导航、学习工作区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SwiftData 与本地文件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资料、录音、聊天存储模式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新模型、显式存储位置、版本迁移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模型配置与 Keychain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配置、后台读取、主动解锁与错误处理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独立服务名；学习语言和调用编排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Paper Tutor 原生服务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PDF 与文本处理、API 适配、结构化课程、作答和恢复经验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非线性活动、证据、图谱、用户模型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本地检索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文档分块、BM25 与词项哈希检索、引用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学习目标过滤、来源版本、可信度校验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本地录音与 WhisperKit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音频导入、录制、转写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作为 V1 可选材料入口，避免成为首次使用门槛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中英文 UI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本地化资源、语言持久化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英文教学、评价与总结；消除固定中文提示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导师外观与播放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本地设置、资源管理、交互经验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原创视觉、减少动画、与教学状态解耦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当前检索使用词项哈希向量与文本排序，不是语义嵌入模型，更不是推荐算法。当前 Paper Tutor 的课程和反馈记录也不等于概念级掌握证据。图谱、推荐引擎、学习者模型及评估工具均需新建。</w:t>
      </w:r>
    </w:p>
    <w:p>
      <w:pPr>
        <w:pStyle w:val="Heading2"/>
      </w:pPr>
      <w:r>
        <w:t>13 2 应用身份与数据隔离</w:t>
      </w:r>
    </w:p>
    <w:p>
      <w:r>
        <w:t xml:space="preserve">建议开发应用身份暂定 </w:t>
      </w:r>
      <w:r>
        <w:rPr>
          <w:rFonts w:ascii="Arial" w:hAnsi="Arial"/>
          <w:sz w:val="20"/>
        </w:rPr>
        <w:t>com.local.lumap</w:t>
      </w:r>
      <w:r>
        <w:t>，正式发布前再确定团队拥有的命名空间。安装名为 Lumap.app，默认路径为用户 Applications 目录。Lumap 与 VoiceClass 使用不同沙盒容器；Lumap 的数据库、资料、课程和索引置于自身 Application Support/Lumap 下，密钥使用独立服务命名。</w:t>
      </w:r>
    </w:p>
    <w:p>
      <w:r>
        <w:t>不复制用户现有数据库、录音、默认设置或密钥。未来提供显式导入：选择 VoiceClass 导出包、预览资料清单、复制所选资料并重建索引。H0 可先使用普通文件导入，不直接挂载 VoiceClass 的 SQLite 文件。改名或切换语言不能改变 Lumap 的数据库位置。</w:t>
      </w:r>
    </w:p>
    <w:p>
      <w:pPr>
        <w:pStyle w:val="Heading2"/>
      </w:pPr>
      <w:r>
        <w:t>13 3 建议模块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3096"/>
        <w:gridCol w:w="3960"/>
        <w:gridCol w:w="2938"/>
      </w:tblGrid>
      <w:tr>
        <w:trPr>
          <w:cantSplit/>
          <w:tblHeader/>
        </w:trPr>
        <w:tc>
          <w:tcPr>
            <w:tcW w:type="dxa" w:w="309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396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责任</w:t>
            </w:r>
          </w:p>
        </w:tc>
        <w:tc>
          <w:tcPr>
            <w:tcW w:type="dxa" w:w="293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输出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GoalService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澄清、确认与目标版本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可观察目标及约束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ContentService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文件提取、引用、审核内容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可追溯的材料片段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LearningGraphService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图谱校验、依赖与路径版本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合法候选节点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TutorOrchestrator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教学状态、模型调用与取消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学习活动和反馈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AssessmentService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规则校验、评分和申诉状态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有效证据或不确定结果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LearnerModelStore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证据、兴趣、状态重算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可检查的用户模型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RecommendationEngine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候选过滤、排序和原因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主建议、备选及决策记录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PersistenceCoordinator</w:t>
            </w:r>
          </w:p>
        </w:tc>
        <w:tc>
          <w:tcPr>
            <w:tcW w:type="dxa" w:w="396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原子保存、迁移和恢复</w:t>
            </w:r>
          </w:p>
        </w:tc>
        <w:tc>
          <w:tcPr>
            <w:tcW w:type="dxa" w:w="293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一致的本地学习状态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建议 H0 核心界面使用 SwiftUI，以减少 Web 与原生双状态同步成本。已有 Paper Tutor Web 组件可用于本地对照和后续可选模式；如确需复用其派生源码，先确认对应来源及使用条件。无需为演示同时维护两套学习主界面。</w:t>
      </w:r>
    </w:p>
    <w:p>
      <w:pPr>
        <w:pStyle w:val="Heading2"/>
      </w:pPr>
      <w:r>
        <w:t>13 4 模型调用和成本控制</w:t>
      </w:r>
    </w:p>
    <w:p>
      <w:r>
        <w:t>大模型负责澄清建议、活动语言表达和开放答案分析；依赖校验、状态变化、数据删除、分数合成和推荐过滤由应用执行。向模型提供当前目标、当前节点、必要的资料片段和有限的历史摘要，避免每轮发送全部历史。</w:t>
      </w:r>
    </w:p>
    <w:p>
      <w:r>
        <w:t>H0 一次 10–15 分钟会话暂设最多约 12 次模型调用、每次最多一次自动结构修复或可重试故障重试；到达预算后让用户决定继续。缓存已生成内容，失败不重复生成已完成活动。测试和使用真实模型时记录调用量与耗时，不记录密钥。</w:t>
      </w:r>
    </w:p>
    <w:p>
      <w:r>
        <w:t>成本按“输入 token × 对应单价 + 输出 token × 对应单价 + 其他实际服务费用”计算；单价由团队选择的供应商和模型配置提供，不在 PRD 中假定固定市场报价。本地模型的延迟和兼容性需单独测试。API 协议可复用，供应商支持清单只列实际验证成功的组合。</w:t>
      </w:r>
    </w:p>
    <w:p>
      <w:bookmarkStart w:id="14" w:name="sec_14"/>
      <w:pPr>
        <w:pStyle w:val="Heading1"/>
      </w:pPr>
      <w:r>
        <w:t>14 数据模型与事件</w:t>
      </w:r>
      <w:bookmarkEnd w:id="14"/>
    </w:p>
    <w:p>
      <w:pPr>
        <w:pStyle w:val="Heading2"/>
      </w:pPr>
      <w:r>
        <w:t>14 1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880"/>
        <w:gridCol w:w="3658"/>
        <w:gridCol w:w="3456"/>
      </w:tblGrid>
      <w:tr>
        <w:trPr>
          <w:cantSplit/>
          <w:tblHeader/>
        </w:trPr>
        <w:tc>
          <w:tcPr>
            <w:tcW w:type="dxa" w:w="2880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实体</w:t>
            </w:r>
          </w:p>
        </w:tc>
        <w:tc>
          <w:tcPr>
            <w:tcW w:type="dxa" w:w="365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必备字段</w:t>
            </w:r>
          </w:p>
        </w:tc>
        <w:tc>
          <w:tcPr>
            <w:tcW w:type="dxa" w:w="3456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关键规则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LearnerProfile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ID、语言、跨会话记忆开关、创建时间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H0 本地单用户，不含密钥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LearningGoal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ID、原话、确认成果、约束、状态、版本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每个会话引用明确版本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InterestSignal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主题、强弱、来源、时间、确认状态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可删除，不写成能力标签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ConceptNode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ID、目标、领域、内容版本、审核状态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稳定 ID，变更需兼容检查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ConceptEdge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起点、终点、关系、依据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必要前置必须无环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SourceDocument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ID、名称、哈希、类型、提取状态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原文和片段可追溯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LearningActivity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节点、题族、内容、规则、来源、版本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题目与评分规则成对保存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LearningSession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目标版本、当前状态、活动、草稿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每次稳定转移持久化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AttemptEvidence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活动、原答、辅助级别、结果、有效性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幂等 ID，申诉冻结影响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ConceptState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节点、状态、证据 ID、最近复核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派生值，可由证据重建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RecommendationDecision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候选、得分、依据、选择、版本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保证解释与实际排序一致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MemoryRecord</w:t>
            </w:r>
          </w:p>
        </w:tc>
        <w:tc>
          <w:tcPr>
            <w:tcW w:type="dxa" w:w="365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摘要、原始依据、适用范围、来源类型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删除依据时同步失效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14 2 一致性与恢复</w:t>
      </w:r>
    </w:p>
    <w:p>
      <w:r>
        <w:t>一次提交生成稳定的 attemptID。保存答案、有效评分、概念状态变化和事件时使用一致事务；推荐可以随后异步计算，但必须绑定已提交的状态版本。模型响应晚于用户取消、目标修改或新尝试时，将其丢弃或存为未应用结果，不能覆盖最新状态。</w:t>
      </w:r>
    </w:p>
    <w:p>
      <w:r>
        <w:t>启动时验证数据库版本和最近会话。迁移失败保留旧文件并提供只读导出，不能静默创建空库替代已有资料。磁盘不足和写入失败必须明确告知，界面不能显示“已保存”后丢失进度。数据库健康检查应验证实际写入与读回，计数本身不等于验证成功。</w:t>
      </w:r>
    </w:p>
    <w:p>
      <w:pPr>
        <w:pStyle w:val="Heading2"/>
      </w:pPr>
      <w:r>
        <w:t>14 3 产品事件</w:t>
      </w:r>
    </w:p>
    <w:p>
      <w:r>
        <w:t>H0 本地记录 goal_confirmed、diagnostic_skipped、attempt_submitted、evidence_accepted、recommendation_shown、recommendation_overridden、goal_changed、session_resumed 和 generation_failed。记录事件 ID、时间、对象 ID、版本、结果与必要分类；分析事件不包含原始答案、资料正文或 API Key。</w:t>
      </w:r>
    </w:p>
    <w:p>
      <w:r>
        <w:t>原始答案是本地学习记录的一部分，与分析事件分开。试点如需要收集评估数据，使用明确同意的导出流程；H0 不设置默认后台分析上传。</w:t>
      </w:r>
    </w:p>
    <w:p>
      <w:bookmarkStart w:id="15" w:name="sec_15"/>
      <w:pPr>
        <w:pStyle w:val="Heading1"/>
      </w:pPr>
      <w:r>
        <w:t>15 隐私与失败处理</w:t>
      </w:r>
      <w:bookmarkEnd w:id="15"/>
    </w:p>
    <w:p>
      <w:pPr>
        <w:pStyle w:val="Heading2"/>
      </w:pPr>
      <w:r>
        <w:t>15 1 数据边界</w:t>
      </w:r>
    </w:p>
    <w:p>
      <w:r>
        <w:t>本地保存不等于所有计算离线。使用远程模型时，当前输入、必要资料片段和相关学习摘要会发往用户选择的服务商；首次发送前显示接收方和内容类别。采用本地模型时说明其连接状态。对远程服务留存策略不作超出实际配置的保证。</w:t>
      </w:r>
    </w:p>
    <w:p>
      <w:r>
        <w:t>API 密钥仅进入系统 Keychain，启动被动检查在后台进行；需要授权时展示明确解锁按钮。解锁前仍能查看已有资料和地图。尚未成功读取的空白字段不能删除已有密钥，密钥不出现在日志、演示录屏和数据导出中。</w:t>
      </w:r>
    </w:p>
    <w:p>
      <w:pPr>
        <w:pStyle w:val="Heading2"/>
      </w:pPr>
      <w:r>
        <w:t>15 2 失败状态与恢复动作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情况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用户看见什么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系统处理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没有 API 或密钥锁定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配置或主动解锁入口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保留本地内容，不阻塞启动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断网、超时、限流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可重试原因和保存状态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取消可用，不写入失败评分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扫描 PDF 或解析失败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不可用部分和替代输入建议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不生成“已读全文”结论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资料与目标无关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当前覆盖范围和目标建议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保留资料，使用探索草案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连续两次任务无进展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更具体示范或前置补充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不无限重复同一问题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用户不想回答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跳过、解释、暂停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保留未知状态，不判能力低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评分争议或证据不足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参考要点与待复核状态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冻结此次画像更新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图谱无候选或有循环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无法可靠生成路径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回退审核路径或探索任务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写入失败或空间不足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明确未保存及导出入口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不覆盖原库，不冒充成功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中途退出或重复提交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恢复当前活动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幂等写入，避免重复累计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15 3 非功能要求</w:t>
      </w:r>
    </w:p>
    <w:p>
      <w:r>
        <w:t>以下为目标，需要在指定演示 Mac 和选定模型上记录实测：冷启动到可交互 p95 不超过 3 秒；纯本地保存和推荐排序 p95 不超过 500 毫秒；在线请求 2 秒内显示进度或等待状态，45 秒仍未完成时提供清晰取消与重试，不能让窗口无响应。模型内容首段与完整结果的延迟分别统计。</w:t>
      </w:r>
    </w:p>
    <w:p>
      <w:r>
        <w:t>验收至少覆盖空库、100 次学习尝试、约 50 份文本资料的本地规模；这不是面向大规模学校部署的性能承诺。图谱和文件处理不能占用主线程造成连续明显卡顿。H0 无网络时可查看历史和审核内容；新生成与开放评分是否可用取决于本地模型或在线服务，不宣称完全离线智能学习。</w:t>
      </w:r>
    </w:p>
    <w:p>
      <w:bookmarkStart w:id="16" w:name="sec_16"/>
      <w:pPr>
        <w:pStyle w:val="Heading1"/>
      </w:pPr>
      <w:r>
        <w:t>16 成效指标与验证设计</w:t>
      </w:r>
      <w:bookmarkEnd w:id="16"/>
    </w:p>
    <w:p>
      <w:pPr>
        <w:pStyle w:val="Heading2"/>
      </w:pPr>
      <w:r>
        <w:t>16 1 指标定义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首轮观察目标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首次有效学习完成率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新用户在一次会话中完成目标确认、一次学习活动及一项有效独立检查的比例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10 人中至少 7 人，作为可用性目标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目标清晰度变化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前后能否说出可观察成果，由统一量表评分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记录变化和失败原因，不先宣称提升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独立任务表现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等难度前后任务的评分要点覆盖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同时报告个体与总体，不使用重复原题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推荐可理解率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用户能说明建议的目标或证据依据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至少 8/10 能解释一项主建议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画像纠正有效率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纠正后下一次计算不再使用被撤销依据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固定用例 100% 通过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延迟保持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3–7 天后新题表现和证据状态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V1 测试，H0 不虚构长期效果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可靠性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核心路径完成、恢复、引用和状态一致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P0 验收全部通过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首要指标建议使用“每周完成的有效学习闭环数”，同时限制其必须包含独立任务证据，防止把阅读和点击算作完成。用户接受推荐的比例仅作为辅助指标，不能奖励系统把用户引向容易接受但价值低的内容。</w:t>
      </w:r>
    </w:p>
    <w:p>
      <w:pPr>
        <w:pStyle w:val="Heading2"/>
      </w:pPr>
      <w:r>
        <w:t>16 2 用户研究与试点</w:t>
      </w:r>
    </w:p>
    <w:p>
      <w:r>
        <w:t>Hackathon 前或后先访谈 5 位目标用户，询问最近一次不知道学什么、如何判断自己学会了、何时停止学习；不先展示完整方案诱导肯定。原型测试约 10 人，观察能否找到入口、解释路径和使用纠正功能。</w:t>
      </w:r>
    </w:p>
    <w:p>
      <w:r>
        <w:t>后续招募约 20–30 位成人用户做小型探索试点，比较固定短路径与自适应路径。在相近内容、时间和预备知识条件下随机分配，使用等难度任务与独立评分，记录退出原因和实际 AI 支持程度。样本较小只用于估计趋势与发现问题，不据此宣传普遍因果效果；如要作正式效果结论，需要进一步样本与研究设计。</w:t>
      </w:r>
    </w:p>
    <w:p>
      <w:pPr>
        <w:pStyle w:val="Heading2"/>
      </w:pPr>
      <w:r>
        <w:t>16 3 内容与模型评估</w:t>
      </w:r>
    </w:p>
    <w:p>
      <w:r>
        <w:t>准备至少 30 个审核用例，覆盖基础正确答案、常见误区、语言切换、非标准表达、答案揭示后重答、评分申诉、无依据引用和文件中的指令。对关键评分结果由内容负责人逐项复核。记录模型、提示词、图谱和规则版本，方便重放；不能在演示前临时换模型却沿用旧评估结论。</w:t>
      </w:r>
    </w:p>
    <w:p>
      <w:bookmarkStart w:id="17" w:name="sec_17"/>
      <w:pPr>
        <w:pStyle w:val="Heading1"/>
      </w:pPr>
      <w:r>
        <w:t>17 商业假设与竞争验证</w:t>
      </w:r>
      <w:bookmarkEnd w:id="17"/>
    </w:p>
    <w:p>
      <w:pPr>
        <w:pStyle w:val="Heading2"/>
      </w:pPr>
      <w:r>
        <w:t>17 1 第一批客户与付费动机</w:t>
      </w:r>
    </w:p>
    <w:p>
      <w:r>
        <w:t>先验证大学生个人使用：陌生主题入门、课程材料理解和跨领域学习。付费动机假设是“更快知道下一步，并看见自己能做什么”，而不是拥有一个人格化聊天窗口。学校和教师可能是未来分发伙伴，但当前没有学校采购承诺或合作事实。</w:t>
      </w:r>
    </w:p>
    <w:p>
      <w:r>
        <w:t>建议先做免费邀请制试点，提供明确计算额度。商业版本可比较个人订阅、用户自带 API 和机构试点三种方式。订阅适合降低配置门槛，自带 API 降低团队成本但增加使用负担，机构方案需要内容质量与部署支持。H0 不实现支付。</w:t>
      </w:r>
    </w:p>
    <w:p>
      <w:pPr>
        <w:pStyle w:val="Heading2"/>
      </w:pPr>
      <w:r>
        <w:t>17 2 定价与成本假设</w:t>
      </w:r>
    </w:p>
    <w:p>
      <w:r>
        <w:t>可在访谈中测试每月 A$8、A$15、A$25 三个假设价位，但这些数字不代表已验证定价或竞品价格。询问愿意支付的具体场景，再用真实转化试验验证，不把口头“愿意付费”当收入。</w:t>
      </w:r>
    </w:p>
    <w:p>
      <w:r>
        <w:t>先测量每个有效学习闭环的平均模型成本、p95 成本和失败重试比例；再估算每名用户月会话数、模型费用、支持成本及毛利。若目标售价无法覆盖高使用量，优先缩减无效生成、增加缓存和分层额度，不能通过降低关键评分质量来隐藏成本。</w:t>
      </w:r>
    </w:p>
    <w:p>
      <w:pPr>
        <w:pStyle w:val="Heading2"/>
      </w:pPr>
      <w:r>
        <w:t>17 3 差异化验证</w:t>
      </w:r>
    </w:p>
    <w:p>
      <w:r>
        <w:t>已核实 Khanmigo 提供引导思考的辅导体验，因此“会问问题”不足以支持独特性。Lumap 的产品验证集中在三项：模糊目标是否更容易变得具体、前置缺口是否被适量处理、用户能否依据历史证据理解并改变推荐。</w:t>
      </w:r>
      <w:hyperlink r:id="rId11">
        <w:r>
          <w:rPr>
            <w:color w:val="245B76"/>
            <w:u w:val="single"/>
          </w:rPr>
          <w:t>Khanmigo 官方介绍</w:t>
        </w:r>
      </w:hyperlink>
    </w:p>
    <w:p>
      <w:r>
        <w:t>更长期的积累应来自经过审核的能力图谱、可迁移的评估任务、推荐质量和用户信任。现有角色立绘或普通聊天能力容易被替代；未经允许扩大数据收集也不能被定义为竞争优势。尚未开展完整竞品研究、市场规模测算或商标检索，Lumap 名称的可用性需在正式品牌投入前确认。</w:t>
      </w:r>
    </w:p>
    <w:p>
      <w:bookmarkStart w:id="18" w:name="sec_18"/>
      <w:pPr>
        <w:pStyle w:val="Heading1"/>
      </w:pPr>
      <w:r>
        <w:t>18 Hackathon 实施与演示</w:t>
      </w:r>
      <w:bookmarkEnd w:id="18"/>
    </w:p>
    <w:p>
      <w:pPr>
        <w:pStyle w:val="Heading2"/>
      </w:pPr>
      <w:r>
        <w:t>18 1 48 小时建议计划</w:t>
      </w:r>
    </w:p>
    <w:p>
      <w:r>
        <w:t>此计划以赛事允许复用既有基础、3–4 人团队和一个领域为前提。赛事尚未明确，不能宣称已经满足其规则。参赛材料应列出 VoiceClass 既有能力与赛事期间新增的 Lumap 工作，记录开发起点；若不允许既有代码，改用轻量独立原型验证闭环，并重新估算工期。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负责人角色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交付与完成标准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0–4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产品与内容、全员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锁定单一目标，审核六个核心节点与关键题，确认规则与分工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4–12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macOS 开发、学习逻辑开发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 App 与数据库、目标与图谱模型、可点通工作区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12–24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学习逻辑、AI 与内容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诊断、活动、提示、评分与证据更新完成一条纵向流程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24–34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macOS 与学习逻辑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推荐解释、路径变化、导入、恢复和 API 失败处理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34–42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全员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核心用例测试、语言检查、内容修订与演示记录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42–48 小时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产品与演示、全员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功能冻结、完整彩排、备用模式和提交材料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三人团队可将 AI 适配和学习逻辑合并。第 24 小时纵向闭环仍未通过时，无论团队人数多少，都停止扩展到 12 节点，改用六节点审核题库、列表式地图和单模型；资料仍可导入，但仅映射到这些节点，暂停任意新题和新活动生成。AI 继续用于目标表达、讲解和受约束的答案分析，路径与题目使用审核版本。</w:t>
      </w:r>
    </w:p>
    <w:p>
      <w:r>
        <w:t>只有一两人或更短工期时，从这一简化方案开始。首先保证“目标 → 任务 → 证据 → 下一步”闭环，移后外观定制、音频和完整画像编辑。基线降级不放弃数据一致性、明确失败状态或两项独立证据要求。</w:t>
      </w:r>
    </w:p>
    <w:p>
      <w:pPr>
        <w:pStyle w:val="Heading2"/>
      </w:pPr>
      <w:r>
        <w:t>18 2 四分钟演示脚本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演示行为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评委应看到的证据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0:00–0:30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输入模糊目标并选择 AI 新闻方向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无需预先制定课程也能开始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0:30–1:10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做“95% 准确率是否可靠”的短判断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系统采集理由，发现具体缺口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1:10–2:05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展示多数类基线，再做新题；如要解锁则补第二题或展示一项合格历史证据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一次成功不冒充两次，提示与独立检查分开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2:05–2:50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地图更新，展示为何补 N06 或进入 N10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推荐使用了本次证据，变化可解释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2:50–3:25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将兴趣改为公共服务例子并查看备选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例子随偏好变，必要基础不被跳过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3:25–4:00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重启恢复或切到已标记历史档案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持续记忆、数据来源和下一步清楚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演示提供两条可操作分支：答错进入补充，独立挑战通过则跳过基础。对需要满足的其他前置，用明确标记的演示历史或现场挑战证明。可压缩阅读时间，但不能把四分钟演示当作完成真实学习效果研究。</w:t>
      </w:r>
    </w:p>
    <w:p>
      <w:pPr>
        <w:pStyle w:val="Heading2"/>
      </w:pPr>
      <w:r>
        <w:t>18 3 演示真实性与备选方案</w:t>
      </w:r>
    </w:p>
    <w:p>
      <w:r>
        <w:t>预置历史一律显示“Demo profile / 演示档案”，并与真实使用数据隔离。现场生成显示调用状态；断网时切换“Offline sample / 离线示例”，使用同一套状态与推荐规则重放经过审核的内容，不声称后台仍在实时推理。单独提供清空演示数据按钮，不触碰用户真实数据库。</w:t>
      </w:r>
    </w:p>
    <w:p>
      <w:r>
        <w:t>可以预置原创短资料、题目和图谱；不得把原项目用户的录音、私人资料或密钥带入演示。已有 Paper2Galgame 本地来源记录未提供代码和角色图片的明确再分发授权，Lumap 公开原型采用自行实现的界面与原创或获许可素材，并保留实际复用依赖的声明。</w:t>
      </w:r>
    </w:p>
    <w:p>
      <w:bookmarkStart w:id="19" w:name="sec_19"/>
      <w:pPr>
        <w:pStyle w:val="Heading1"/>
      </w:pPr>
      <w:r>
        <w:t>19 验收清单</w:t>
      </w:r>
      <w:bookmarkEnd w:id="19"/>
    </w:p>
    <w:p>
      <w:r>
        <w:t>以下为开发后的验收要求，目前尚未执行 Lumap 功能测试。P0 用例必须全部通过，产品才可以声称 H0 闭环完成。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792"/>
        <w:gridCol w:w="1210"/>
        <w:gridCol w:w="3528"/>
        <w:gridCol w:w="4464"/>
      </w:tblGrid>
      <w:tr>
        <w:trPr>
          <w:cantSplit/>
          <w:tblHeader/>
        </w:trPr>
        <w:tc>
          <w:tcPr>
            <w:tcW w:type="dxa" w:w="792"/>
            <w:vAlign w:val="center"/>
            <w:shd w:fill="DFEAF0"/>
          </w:tcPr>
          <w:p>
            <w:pPr>
              <w:keepNext/>
              <w:spacing w:line="300" w:lineRule="exact" w:before="0" w:after="0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1210"/>
            <w:vAlign w:val="center"/>
            <w:shd w:fill="DFEAF0"/>
          </w:tcPr>
          <w:p>
            <w:pPr>
              <w:keepNext/>
              <w:spacing w:line="300" w:lineRule="exact" w:before="0" w:after="0"/>
              <w:jc w:val="center"/>
            </w:pPr>
            <w:r>
              <w:rPr>
                <w:b/>
                <w:sz w:val="21"/>
              </w:rPr>
              <w:t>对应需求</w:t>
            </w:r>
          </w:p>
        </w:tc>
        <w:tc>
          <w:tcPr>
            <w:tcW w:type="dxa" w:w="352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输入或情景</w:t>
            </w:r>
          </w:p>
        </w:tc>
        <w:tc>
          <w:tcPr>
            <w:tcW w:type="dxa" w:w="4464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可观察的通过条件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A01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F01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输入不知道想学什么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三轮内提供可执行探索活动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A02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F02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系统提出目标但用户修改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保存用户确认版本，保留原话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A03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F04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跳过起点诊断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显示未评估，不标为基础差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A04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F05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未知或薄弱必要前置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主建议为诊断或补充，原因可查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A05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F05–F06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先通过一题，再通过不同题族检查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一题仅跳过讲解；两项合格证据才解锁必要前置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A06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F07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只阅读全部课程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不提升概念掌握状态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A07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F08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查看完整答案后作答正确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记录有支持完成，不判独立成功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A08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F08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连续两次无进展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增加示范或缩小任务，不重复逼问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A09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F08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点击 Explain it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下一步给讲解，保留后续新题检查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A10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F09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同一题重复提交或重试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仅一份有效证据，不重复解锁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A11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F09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两种独立任务达标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满足规则后显示已验证及证据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A12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F09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评分不确定或用户申诉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冻结该次更新，提供澄清或替代题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A13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F11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无历史的新用户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推荐不编造用户经历或偏好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A14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F11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关键缺口与兴趣冲突，或明确拒绝必要概念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不静默删基础；解释后可换例子、改目标或预览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A15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F03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学习途中修改目标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明示路径变更，保留已有证据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A16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F12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关闭再打开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恢复目标、活动和最近稳定记录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A17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F12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取消后收到旧模型响应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不覆盖新的目标或答题状态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A18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F15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上传扫描 PDF 或超大文件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提示限制，不伪装解析成功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A19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F15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内容中有忽略规则指令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不执行指令，不改变评分或访问密钥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A20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F16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新安装及语言切换重启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英文默认、选择保留、同一 Lumap 数据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A21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F16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用中文答英文课程题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按含义判定，不因语言直接判错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A22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F16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API 失效或 Keychain 锁定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UI 可用、错误明确、不丢本地数据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A23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F12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磁盘失败或迁移异常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不显示虚假保存，不创建空库替代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A24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F01–F16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无网现场演示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明示离线示例，不冒充实时生成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A25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基础隔离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同时打开 VoiceClass 与 Lumap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应用与数据库互不覆盖，密钥分离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A26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基础交互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仅用键盘完成核心流程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焦点可达、状态可读、无操作死路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A27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F13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删除或纠正兴趣依据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下次推荐与摘要不再引用撤销依据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A28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F14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逾期未练习后返回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建议复核，不能凭时间宣称遗忘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A29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F17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更换角色与语气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同样证据得到同样判分和解锁结果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A30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F18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导出和删除资料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不含密钥，引用与索引一致更新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A31</w:t>
            </w:r>
          </w:p>
        </w:tc>
        <w:tc>
          <w:tcPr>
            <w:tcW w:type="dxa" w:w="1210"/>
            <w:vAlign w:val="center"/>
            <w:shd w:fill="FFFFFF"/>
          </w:tcPr>
          <w:p>
            <w:pPr>
              <w:keepNext w:val="0"/>
              <w:spacing w:line="300" w:lineRule="exact" w:before="0" w:after="0"/>
              <w:jc w:val="center"/>
            </w:pPr>
            <w:r>
              <w:rPr>
                <w:sz w:val="21"/>
              </w:rPr>
              <w:t>F12</w:t>
            </w:r>
          </w:p>
        </w:tc>
        <w:tc>
          <w:tcPr>
            <w:tcW w:type="dxa" w:w="352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开关历史使用，分别重开会话与新建会话</w:t>
            </w:r>
          </w:p>
        </w:tc>
        <w:tc>
          <w:tcPr>
            <w:tcW w:type="dxa" w:w="4464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同会话可恢复；关闭后新会话不使用旧证据解锁；整体清除同步派生数据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A27–A30 为 P1 验收，其余属于 H0 核心或底层质量要求。至少用全新空库与已有演示历史各跑一遍，验证两种冷启动行为；历史开启与关闭分别验证。算法固定用例使用合成数据；真实模型验证只使用团队授权的示例资料和密钥。</w:t>
      </w:r>
    </w:p>
    <w:p>
      <w:bookmarkStart w:id="20" w:name="sec_20"/>
      <w:pPr>
        <w:pStyle w:val="Heading1"/>
      </w:pPr>
      <w:r>
        <w:t>20 风险与决策记录</w:t>
      </w:r>
      <w:bookmarkEnd w:id="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901"/>
        <w:gridCol w:w="3715"/>
        <w:gridCol w:w="4378"/>
      </w:tblGrid>
      <w:tr>
        <w:trPr>
          <w:cantSplit/>
          <w:tblHeader/>
        </w:trPr>
        <w:tc>
          <w:tcPr>
            <w:tcW w:type="dxa" w:w="1901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风险或未决项</w:t>
            </w:r>
          </w:p>
        </w:tc>
        <w:tc>
          <w:tcPr>
            <w:tcW w:type="dxa" w:w="3715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可能影响</w:t>
            </w:r>
          </w:p>
        </w:tc>
        <w:tc>
          <w:tcPr>
            <w:tcW w:type="dxa" w:w="4378"/>
            <w:vAlign w:val="center"/>
            <w:shd w:fill="DFEAF0"/>
          </w:tcPr>
          <w:p>
            <w:pPr>
              <w:keepNext/>
              <w:spacing w:line="300" w:lineRule="exact" w:before="0" w:after="0"/>
            </w:pPr>
            <w:r>
              <w:rPr>
                <w:b/>
                <w:sz w:val="21"/>
              </w:rPr>
              <w:t>当前设计决定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用户其实只想快速得到解释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强制提问造成中断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允许直接讲解和调整学习强度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模型评分不稳定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错误路径和虚假掌握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审核规则、不确定状态、申诉冻结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画像把暂时选择固化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推荐越来越狭窄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分离兴趣与能力，允许纠正和拓展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任意文档自动建图质量低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错误前置和不可执行课程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H0 受限领域，自由领域标草案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基础补得过多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用户始终碰不到目标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挑战跳过、只补相关缺口、允许预览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48 小时范围过大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演示只有漂亮页面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先交付纵向闭环，按人数裁剪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原项目身份被照搬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数据覆盖或密钥混用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独立身份、独立存储、显式导入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外部素材和既有代码规则不清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公开展示或提交受限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原创视觉、来源记录、核对赛事规则</w:t>
            </w:r>
          </w:p>
        </w:tc>
      </w:tr>
      <w:tr>
        <w:trPr>
          <w:cantSplit/>
        </w:trPr>
        <w:tc>
          <w:tcPr>
            <w:tcW w:type="dxa" w:w="1901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缺少长期数据</w:t>
            </w:r>
          </w:p>
        </w:tc>
        <w:tc>
          <w:tcPr>
            <w:tcW w:type="dxa" w:w="3715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推荐效果无法证明</w:t>
            </w:r>
          </w:p>
        </w:tc>
        <w:tc>
          <w:tcPr>
            <w:tcW w:type="dxa" w:w="4378"/>
            <w:vAlign w:val="center"/>
            <w:shd w:fill="FFFFFF"/>
          </w:tcPr>
          <w:p>
            <w:pPr>
              <w:keepNext w:val="0"/>
              <w:spacing w:line="300" w:lineRule="exact" w:before="0" w:after="0"/>
            </w:pPr>
            <w:r>
              <w:rPr>
                <w:sz w:val="21"/>
              </w:rPr>
              <w:t>H0 展示机制，V1 做延迟验证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当前需要团队确认的决策包括：首批用户、具体赛事及允许的既有代码范围、开发时长与人数、首个学习领域、演示使用的 API 与预算、是否优先实现语音。未收到进一步信息前，按本文成人大学生、macOS、英文默认、48 小时、单一 AI 素养领域方案推进后续设计；这不等于开始软件实现。</w:t>
      </w:r>
    </w:p>
    <w:p>
      <w:bookmarkStart w:id="21" w:name="sec_21"/>
      <w:pPr>
        <w:pStyle w:val="Heading1"/>
      </w:pPr>
      <w:r>
        <w:t>21 依据与后续交付</w:t>
      </w:r>
      <w:bookmarkEnd w:id="21"/>
    </w:p>
    <w:p>
      <w:pPr>
        <w:pStyle w:val="Heading2"/>
      </w:pPr>
      <w:r>
        <w:t>21 1 外部依据</w:t>
      </w:r>
    </w:p>
    <w:p>
      <w:r>
        <w:t>外部资料核对日期为 2026 年 9 月 29 日。研究来源用于说明方法依据，产品官网用于确认已公开描述的能力；二者都不能替代 Lumap 自身验证。</w:t>
      </w:r>
    </w:p>
    <w:p>
      <w:pPr>
        <w:ind w:left="245" w:hanging="245"/>
      </w:pPr>
      <w:r>
        <w:t xml:space="preserve">1. </w:t>
      </w:r>
      <w:hyperlink r:id="rId12">
        <w:r>
          <w:rPr>
            <w:color w:val="245B76"/>
            <w:u w:val="single"/>
          </w:rPr>
          <w:t>IES Organizing Instruction and Study to Improve Student Learning</w:t>
        </w:r>
      </w:hyperlink>
      <w:r>
        <w:t>：教学方法参考，支持间隔安排、练习与示例、提问等选择。本文参数和产品成效并非由该指南验证。</w:t>
      </w:r>
    </w:p>
    <w:p>
      <w:pPr>
        <w:ind w:left="245" w:hanging="245"/>
      </w:pPr>
      <w:r>
        <w:t xml:space="preserve">2. </w:t>
      </w:r>
      <w:hyperlink r:id="rId11">
        <w:r>
          <w:rPr>
            <w:color w:val="245B76"/>
            <w:u w:val="single"/>
          </w:rPr>
          <w:t>Khanmigo 官方介绍</w:t>
        </w:r>
      </w:hyperlink>
      <w:r>
        <w:t>：差异化核对，已有引导思考的辅导产品。未以此进行完整竞品或价格比较。</w:t>
      </w:r>
    </w:p>
    <w:p>
      <w:pPr>
        <w:ind w:left="245" w:hanging="245"/>
      </w:pPr>
      <w:r>
        <w:t xml:space="preserve">3. </w:t>
      </w:r>
      <w:hyperlink r:id="rId13">
        <w:r>
          <w:rPr>
            <w:color w:val="245B76"/>
            <w:u w:val="single"/>
          </w:rPr>
          <w:t>Paper2Galgame 上游项目</w:t>
        </w:r>
      </w:hyperlink>
      <w:r>
        <w:t>：本地集成的原始来源。具体能力和来源状态以当前工作区的 UPSTREAM、PARITY 与 THIRD_PARTY_NOTICES 记录为准，检查版本为 da60826012493b16872add56d6c6d412197e6f1c。</w:t>
      </w:r>
    </w:p>
    <w:p>
      <w:pPr>
        <w:pStyle w:val="Heading2"/>
      </w:pPr>
      <w:r>
        <w:t>21 2 本地实现依据</w:t>
      </w:r>
    </w:p>
    <w:p>
      <w:pPr>
        <w:pStyle w:val="ListBullet"/>
      </w:pPr>
      <w:r>
        <w:rPr>
          <w:rFonts w:ascii="Arial" w:hAnsi="Arial"/>
          <w:sz w:val="20"/>
        </w:rPr>
        <w:t>VoiceClass/App/VoiceClassApp.swift</w:t>
      </w:r>
      <w:r>
        <w:t>：SwiftUI 应用入口与 SwiftData 模型容器。</w:t>
      </w:r>
    </w:p>
    <w:p>
      <w:pPr>
        <w:pStyle w:val="ListBullet"/>
      </w:pPr>
      <w:r>
        <w:rPr>
          <w:rFonts w:ascii="Arial" w:hAnsi="Arial"/>
          <w:sz w:val="20"/>
        </w:rPr>
        <w:t>VoiceClass/Services/ProviderSettingsStore.swift</w:t>
      </w:r>
      <w:r>
        <w:t xml:space="preserve"> 与 </w:t>
      </w:r>
      <w:r>
        <w:rPr>
          <w:rFonts w:ascii="Arial" w:hAnsi="Arial"/>
          <w:sz w:val="20"/>
        </w:rPr>
        <w:t>KeychainStore.swift</w:t>
      </w:r>
      <w:r>
        <w:t>：语言、模型配置、密钥缓存和主动解锁。</w:t>
      </w:r>
    </w:p>
    <w:p>
      <w:pPr>
        <w:pStyle w:val="ListBullet"/>
      </w:pPr>
      <w:r>
        <w:rPr>
          <w:rFonts w:ascii="Arial" w:hAnsi="Arial"/>
          <w:sz w:val="20"/>
        </w:rPr>
        <w:t>VoiceClass/Services/PaperTutor/PaperTutorService.swift</w:t>
      </w:r>
      <w:r>
        <w:t>、</w:t>
      </w:r>
      <w:r>
        <w:rPr>
          <w:rFonts w:ascii="Arial" w:hAnsi="Arial"/>
          <w:sz w:val="20"/>
        </w:rPr>
        <w:t>PaperTutorAPI.swift</w:t>
      </w:r>
      <w:r>
        <w:t>、</w:t>
      </w:r>
      <w:r>
        <w:rPr>
          <w:rFonts w:ascii="Arial" w:hAnsi="Arial"/>
          <w:sz w:val="20"/>
        </w:rPr>
        <w:t>PaperTutorModels.swift</w:t>
      </w:r>
      <w:r>
        <w:t>：文件与课程、接口、答题和本地保存。</w:t>
      </w:r>
    </w:p>
    <w:p>
      <w:pPr>
        <w:pStyle w:val="ListBullet"/>
      </w:pPr>
      <w:r>
        <w:rPr>
          <w:rFonts w:ascii="Arial" w:hAnsi="Arial"/>
          <w:sz w:val="20"/>
        </w:rPr>
        <w:t>VoiceClass/Services/KnowledgeQAService.swift</w:t>
      </w:r>
      <w:r>
        <w:t xml:space="preserve"> 与 </w:t>
      </w:r>
      <w:r>
        <w:rPr>
          <w:rFonts w:ascii="Arial" w:hAnsi="Arial"/>
          <w:sz w:val="20"/>
        </w:rPr>
        <w:t>AIService.swift</w:t>
      </w:r>
      <w:r>
        <w:t>：现有问答和处理流程，包括仍需改造的固定中文输出。</w:t>
      </w:r>
    </w:p>
    <w:p>
      <w:pPr>
        <w:pStyle w:val="ListBullet"/>
      </w:pPr>
      <w:r>
        <w:rPr>
          <w:rFonts w:ascii="Arial" w:hAnsi="Arial"/>
          <w:sz w:val="20"/>
        </w:rPr>
        <w:t>VoiceClass/Services/LocalVectorizer.swift</w:t>
      </w:r>
      <w:r>
        <w:t xml:space="preserve"> 与 </w:t>
      </w:r>
      <w:r>
        <w:rPr>
          <w:rFonts w:ascii="Arial" w:hAnsi="Arial"/>
          <w:sz w:val="20"/>
        </w:rPr>
        <w:t>KnowledgeRetriever.swift</w:t>
      </w:r>
      <w:r>
        <w:t>：当前本地检索实现及边界。</w:t>
      </w:r>
    </w:p>
    <w:p>
      <w:pPr>
        <w:pStyle w:val="ListBullet"/>
      </w:pPr>
      <w:r>
        <w:rPr>
          <w:rFonts w:ascii="Arial" w:hAnsi="Arial"/>
          <w:sz w:val="20"/>
        </w:rPr>
        <w:t>PaperTutorWeb/THIRD_PARTY_NOTICES.md</w:t>
      </w:r>
      <w:r>
        <w:t>、</w:t>
      </w:r>
      <w:r>
        <w:rPr>
          <w:rFonts w:ascii="Arial" w:hAnsi="Arial"/>
          <w:sz w:val="20"/>
        </w:rPr>
        <w:t>UPSTREAM.md</w:t>
      </w:r>
      <w:r>
        <w:t xml:space="preserve"> 与 </w:t>
      </w:r>
      <w:r>
        <w:rPr>
          <w:rFonts w:ascii="Arial" w:hAnsi="Arial"/>
          <w:sz w:val="20"/>
        </w:rPr>
        <w:t>PARITY.md</w:t>
      </w:r>
      <w:r>
        <w:t>：第三方来源、素材与功能对应。</w:t>
      </w:r>
    </w:p>
    <w:p>
      <w:r>
        <w:t>上述路径均相对于 VoiceRecord 工作区；本节是实现依据索引，不是 Lumap 已实现功能清单。</w:t>
      </w:r>
    </w:p>
    <w:p>
      <w:pPr>
        <w:pStyle w:val="Heading2"/>
      </w:pPr>
      <w:r>
        <w:t>21 3 进入实现前的交付顺序</w:t>
      </w:r>
    </w:p>
    <w:p>
      <w:r>
        <w:t>先确认首版目标与范围，再交付关键页面线框、审核后的图谱与题目、技术任务拆分和演示验收计划。随后在 Lumap 目录创建独立应用，优先完成一条从目标到推荐的真实闭环，再补充其他入口与视觉表现。PRD 的下一版本应记录确认的假设、范围变化和真实验证结果。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23" w:bottom="1037" w:left="1123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94" w:val="right"/>
      </w:tabs>
    </w:pPr>
    <w:r>
      <w:t>产品设计草案   ·   2026 年 9 月 29 日</w:t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994" w:val="right"/>
      </w:tabs>
    </w:pPr>
    <w:r>
      <w:t>Lumap     产品需求文档</w:t>
    </w:r>
    <w:r>
      <w:tab/>
      <w:t>版本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20"/>
    </w:pPr>
    <w:rPr>
      <w:rFonts w:ascii="Arial" w:hAnsi="Arial" w:eastAsia="Noto Sans CJK SC"/>
      <w:b w:val="0"/>
      <w:i w:val="0"/>
      <w:color w:val="000000"/>
      <w:sz w:val="22"/>
      <w:lang w:val="en-AU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b w:val="0"/>
      <w:i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Noto Sans CJK SC"/>
      <w:b w:val="0"/>
      <w:i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460" w:lineRule="exact"/>
      <w:outlineLvl w:val="0"/>
    </w:pPr>
    <w:rPr>
      <w:rFonts w:ascii="Arial" w:hAnsi="Arial" w:eastAsia="Noto Sans CJK SC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</w:pPr>
    <w:rPr>
      <w:rFonts w:ascii="Arial" w:hAnsi="Arial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60" w:lineRule="exact"/>
      <w:outlineLvl w:val="2"/>
    </w:pPr>
    <w:rPr>
      <w:rFonts w:ascii="Arial" w:hAnsi="Arial" w:eastAsia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Arial" w:hAnsi="Arial" w:eastAsia="Noto Sans CJK SC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eastAsia="Noto Sans CJK SC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40" w:lineRule="exact"/>
      <w:contextualSpacing/>
    </w:pPr>
    <w:rPr>
      <w:rFonts w:ascii="Arial" w:hAnsi="Arial" w:eastAsia="Noto Sans CJK SC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40" w:lineRule="exact"/>
      <w:contextualSpacing/>
    </w:pPr>
    <w:rPr>
      <w:rFonts w:ascii="Arial" w:hAnsi="Arial" w:eastAsia="Noto Sans CJK SC"/>
      <w:b w:val="0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CJK SC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hanmigo.ai/" TargetMode="External"/><Relationship Id="rId12" Type="http://schemas.openxmlformats.org/officeDocument/2006/relationships/hyperlink" Target="https://ies.ed.gov/ncee/wwc/PracticeGuide/1" TargetMode="External"/><Relationship Id="rId13" Type="http://schemas.openxmlformats.org/officeDocument/2006/relationships/hyperlink" Target="https://github.com/Nova42x/paper2gal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Lumap 产品需求文档</dc:title>
  <dc:subject>启发式个性化学习软件 产品需求与 Hackathon 首版范围</dc:subject>
  <dc:creator>Celestial Frontier</dc:creator>
  <cp:keywords>Lumap, PRD, macOS, adaptive learning, Hackathon</cp:keywords>
  <dc:description/>
  <cp:lastModifiedBy>Celestial Frontier</cp:lastModifiedBy>
  <cp:revision>1</cp:revision>
  <dcterms:created xsi:type="dcterms:W3CDTF">2013-12-23T23:15:00Z</dcterms:created>
  <dcterms:modified xsi:type="dcterms:W3CDTF">2013-12-23T23:15:00Z</dcterms:modified>
  <cp:category/>
</cp:coreProperties>
</file>