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CU01 – Ingresar al sistema como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ingresa su usuario y contraseña para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o hay una sesión iniciada previamente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accede a la pantalla de búsqueda de puntos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CU##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ingresa su nombre usuario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 el campo de texto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ingresa su contraseña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 el campo de texto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el botón “Ingresar”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valida los datos ingresados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muestra la pantalla de búsqueda de puntos de interés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hd w:fill="e5e5e5" w:val="clear"/>
          <w:rtl w:val="0"/>
        </w:rPr>
        <w:t xml:space="preserve">Curso Alternativo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CA01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sistema no puede hacer coincidir lo datos ingresados con los de ningún usuario existente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sistema informa por pantalla “Login Incorrecto”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Continúa el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Curso Normal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desde el punto 1.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