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Eliminar punto de interés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actor ingresa </w:t>
      </w:r>
      <w:r w:rsidDel="00000000" w:rsidR="00000000" w:rsidRPr="00000000">
        <w:rPr>
          <w:rFonts w:ascii="Arial" w:cs="Arial" w:eastAsia="Arial" w:hAnsi="Arial"/>
          <w:rtl w:val="0"/>
        </w:rPr>
        <w:t xml:space="preserve">un punto de interés y este se agrega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 accedió al menú de administradores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Extiende CU</w:t>
      </w:r>
      <w:r w:rsidDel="00000000" w:rsidR="00000000" w:rsidRPr="00000000">
        <w:rPr>
          <w:rFonts w:ascii="Arial" w:cs="Arial" w:eastAsia="Arial" w:hAnsi="Arial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 I</w:t>
      </w:r>
      <w:r w:rsidDel="00000000" w:rsidR="00000000" w:rsidRPr="00000000">
        <w:rPr>
          <w:rFonts w:ascii="Arial" w:cs="Arial" w:eastAsia="Arial" w:hAnsi="Arial"/>
          <w:rtl w:val="0"/>
        </w:rPr>
        <w:t xml:space="preserve">ngresar al sistema como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presiona el botón “Eliminar puntos de interés” desde el menú de administradores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lista los puntos de interés del sistema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actor presiona “Eliminar”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da de baja el punto de interés en el sistema.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hd w:fill="e5e5e5" w:val="clear"/>
          <w:rtl w:val="0"/>
        </w:rPr>
        <w:t xml:space="preserve">Curso Alternativo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Anexo A – Pantalla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Supuestos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hd w:fill="e5e5e5" w:val="clear"/>
          <w:rtl w:val="0"/>
        </w:rPr>
        <w:t xml:space="preserve">Problemas / 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80" w:line="259" w:lineRule="auto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200" w:line="259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200" w:line="259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59" w:lineRule="auto"/>
    </w:pPr>
    <w:rPr>
      <w:rFonts w:ascii="Calibri" w:cs="Calibri" w:eastAsia="Calibri" w:hAnsi="Calibri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59" w:lineRule="auto"/>
    </w:pPr>
    <w:rPr>
      <w:rFonts w:ascii="Calibri" w:cs="Calibri" w:eastAsia="Calibri" w:hAnsi="Calibri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