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bfb4dd496583d5510227131a79f7f31de08cac1"/>
    <w:p>
      <w:pPr>
        <w:pStyle w:val="Heading1"/>
      </w:pPr>
      <w:r>
        <w:t xml:space="preserve">Advancing HTLA: Refinements and Future Directions</w:t>
      </w:r>
    </w:p>
    <w:bookmarkStart w:id="23" w:name="X2ef6a568fdb2696342f04cc4c8b7d788bff7dfe"/>
    <w:p>
      <w:pPr>
        <w:pStyle w:val="Heading3"/>
      </w:pPr>
      <w:r>
        <w:t xml:space="preserve">Label Curvature and Fisher Information Geometry</w:t>
      </w:r>
    </w:p>
    <w:p>
      <w:pPr>
        <w:pStyle w:val="FirstParagraph"/>
      </w:pPr>
      <w:r>
        <w:t xml:space="preserve">The definition of</w:t>
      </w:r>
      <w:r>
        <w:t xml:space="preserve"> </w:t>
      </w:r>
      <w:r>
        <w:rPr>
          <w:b/>
          <w:bCs/>
        </w:rPr>
        <w:t xml:space="preserve">label curvature</w:t>
      </w:r>
      <w:r>
        <w:t xml:space="preserve"> </w:t>
      </w:r>
      <w:r>
        <w:t xml:space="preserve">κₗₐᵦₑₗ = –∇² log wₗ suggests a direct information-geometric interpretation. In fact, in information geometry the</w:t>
      </w:r>
      <w:r>
        <w:t xml:space="preserve"> </w:t>
      </w:r>
      <w:r>
        <w:rPr>
          <w:i/>
          <w:iCs/>
        </w:rPr>
        <w:t xml:space="preserve">Fisher information metric</w:t>
      </w:r>
      <w:r>
        <w:t xml:space="preserve"> </w:t>
      </w:r>
      <w:r>
        <w:t xml:space="preserve">arises as the Hessian of a log-likelihood (or divergence) potential. For example, it is known that the Fisher metric can be obtained as the second derivative (Hessian) of the Kullback–Leibler divergence</w:t>
      </w:r>
      <w:hyperlink r:id="rId21">
        <w:r>
          <w:rPr>
            <w:rStyle w:val="Hyperlink"/>
          </w:rPr>
          <w:t xml:space="preserve">[1]</w:t>
        </w:r>
      </w:hyperlink>
      <w:r>
        <w:t xml:space="preserve">. Likewise, the convex potential (log partition function) of an exponential family yields a Hesse metric equal to its Fisher metric</w:t>
      </w:r>
      <w:hyperlink r:id="rId22">
        <w:r>
          <w:rPr>
            <w:rStyle w:val="Hyperlink"/>
          </w:rPr>
          <w:t xml:space="preserve">[2]</w:t>
        </w:r>
      </w:hyperlink>
      <w:r>
        <w:t xml:space="preserve">. By analogy, our κₗₐᵦₑₗ = –∇² log wₗ can be viewed as the Fisher–Rao metric on the space of label weights. In other words, treating wₗ as a probability density endows the label manifold with a natural information metric (a “Rao-Fisher” metric)</w:t>
      </w:r>
      <w:hyperlink r:id="rId22">
        <w:r>
          <w:rPr>
            <w:rStyle w:val="Hyperlink"/>
          </w:rPr>
          <w:t xml:space="preserve">[2]</w:t>
        </w:r>
      </w:hyperlink>
      <w:hyperlink r:id="rId21">
        <w:r>
          <w:rPr>
            <w:rStyle w:val="Hyperlink"/>
          </w:rPr>
          <w:t xml:space="preserve">[1]</w:t>
        </w:r>
      </w:hyperlink>
      <w:r>
        <w:t xml:space="preserve">. This interpretation unifies the probabilistic weights wₗ with Riemannian geometry: the label curvature measures how the log-weights curve the geometry of label space, just as the Fisher information metric measures curvature of statistical manifolds</w:t>
      </w:r>
      <w:hyperlink r:id="rId21">
        <w:r>
          <w:rPr>
            <w:rStyle w:val="Hyperlink"/>
          </w:rPr>
          <w:t xml:space="preserve">[1]</w:t>
        </w:r>
      </w:hyperlink>
      <w:hyperlink r:id="rId22">
        <w:r>
          <w:rPr>
            <w:rStyle w:val="Hyperlink"/>
          </w:rPr>
          <w:t xml:space="preserve">[2]</w:t>
        </w:r>
      </w:hyperlink>
      <w:r>
        <w:t xml:space="preserve">.</w:t>
      </w:r>
    </w:p>
    <w:bookmarkEnd w:id="23"/>
    <w:bookmarkStart w:id="25" w:name="X41cfbe40da7c7a960516706aadadbf7f5a8651c"/>
    <w:p>
      <w:pPr>
        <w:pStyle w:val="Heading3"/>
      </w:pPr>
      <w:r>
        <w:t xml:space="preserve">Persistent Homology and Topological Transitions</w:t>
      </w:r>
    </w:p>
    <w:p>
      <w:pPr>
        <w:pStyle w:val="FirstParagraph"/>
      </w:pPr>
      <w:r>
        <w:t xml:space="preserve">The current homology classification (Thm.2.2) addresses a fixed transition complex. A stronger approach is to incorporate</w:t>
      </w:r>
      <w:r>
        <w:t xml:space="preserve"> </w:t>
      </w:r>
      <w:r>
        <w:rPr>
          <w:b/>
          <w:bCs/>
        </w:rPr>
        <w:t xml:space="preserve">persistent homology</w:t>
      </w:r>
      <w:r>
        <w:t xml:space="preserve"> </w:t>
      </w:r>
      <w:r>
        <w:t xml:space="preserve">across a family of embeddings. Persistent homology tracks topological features (like connected components, loops, voids) across a parameterized filtration and is a standard tool in topological data analysis</w:t>
      </w:r>
      <w:hyperlink r:id="rId24">
        <w:r>
          <w:rPr>
            <w:rStyle w:val="Hyperlink"/>
          </w:rPr>
          <w:t xml:space="preserve">[3]</w:t>
        </w:r>
      </w:hyperlink>
      <w:r>
        <w:t xml:space="preserve">. By constructing a filtration of the transition complex (e.g. by thresholding edge weights or adding transitions), one could compute persistence diagrams that capture how homological features appear or vanish over scales. This aligns HTLA with ML practice: persistent homology provides a</w:t>
      </w:r>
      <w:r>
        <w:t xml:space="preserve"> </w:t>
      </w:r>
      <w:r>
        <w:rPr>
          <w:i/>
          <w:iCs/>
        </w:rPr>
        <w:t xml:space="preserve">multi-scale analysis</w:t>
      </w:r>
      <w:r>
        <w:t xml:space="preserve"> </w:t>
      </w:r>
      <w:r>
        <w:t xml:space="preserve">of shape and connectivity</w:t>
      </w:r>
      <w:hyperlink r:id="rId24">
        <w:r>
          <w:rPr>
            <w:rStyle w:val="Hyperlink"/>
          </w:rPr>
          <w:t xml:space="preserve">[3]</w:t>
        </w:r>
      </w:hyperlink>
      <w:r>
        <w:t xml:space="preserve">. In practice, one would vary the embedding maps ℰ (or their weights) and compute the resulting homology ranks as a function of the scale, thus strengthening Theorem 2.2 by detecting robust topological obstructions that persist over many transitions. Such an extension would make HTLA’s homological classification more powerful and directly comparable to modern TDA methods</w:t>
      </w:r>
      <w:hyperlink r:id="rId24">
        <w:r>
          <w:rPr>
            <w:rStyle w:val="Hyperlink"/>
          </w:rPr>
          <w:t xml:space="preserve">[3]</w:t>
        </w:r>
      </w:hyperlink>
      <w:r>
        <w:t xml:space="preserve">.</w:t>
      </w:r>
    </w:p>
    <w:bookmarkEnd w:id="25"/>
    <w:bookmarkStart w:id="27" w:name="refined-concentration-bounds-heavy-tails"/>
    <w:p>
      <w:pPr>
        <w:pStyle w:val="Heading3"/>
      </w:pPr>
      <w:r>
        <w:t xml:space="preserve">Refined Concentration Bounds (Heavy-Tails)</w:t>
      </w:r>
    </w:p>
    <w:p>
      <w:pPr>
        <w:pStyle w:val="FirstParagraph"/>
      </w:pPr>
      <w:r>
        <w:t xml:space="preserve">The Hanson–Wright bound in Thm.3.1 gives</w:t>
      </w:r>
      <w:r>
        <w:t xml:space="preserve"> </w:t>
      </w:r>
      <w:r>
        <w:rPr>
          <w:i/>
          <w:iCs/>
        </w:rPr>
        <w:t xml:space="preserve">sub-Gaussian</w:t>
      </w:r>
      <w:r>
        <w:t xml:space="preserve"> </w:t>
      </w:r>
      <w:r>
        <w:t xml:space="preserve">tails under isotropic sub-Gaussian noise. In more general settings (e.g. independent but non-identically distributed or heavy-tailed noise), the concentration may weaken. Recent work extends Hanson–Wright to</w:t>
      </w:r>
      <w:r>
        <w:t xml:space="preserve"> </w:t>
      </w:r>
      <w:r>
        <w:rPr>
          <w:i/>
          <w:iCs/>
        </w:rPr>
        <w:t xml:space="preserve">sub-Weibull</w:t>
      </w:r>
      <w:r>
        <w:t xml:space="preserve"> </w:t>
      </w:r>
      <w:r>
        <w:t xml:space="preserve">(or sub-exponential) random variables, yielding tail bounds of the form $\exp(-C\,t^p)$ for $p&lt;2$</w:t>
      </w:r>
      <w:hyperlink r:id="rId26">
        <w:r>
          <w:rPr>
            <w:rStyle w:val="Hyperlink"/>
          </w:rPr>
          <w:t xml:space="preserve">[4]</w:t>
        </w:r>
      </w:hyperlink>
      <w:r>
        <w:t xml:space="preserve">. In particular, when block entries have different variances (non-isotropic) or heavier tails, one obtains “subexponential” decay instead of Gaussian. It would thus be worthwhile to mention these generalized inequalities: for example, Corollary 6.5 in</w:t>
      </w:r>
      <w:hyperlink r:id="rId26">
        <w:r>
          <w:rPr>
            <w:rStyle w:val="Hyperlink"/>
          </w:rPr>
          <w:t xml:space="preserve">[4]</w:t>
        </w:r>
      </w:hyperlink>
      <w:r>
        <w:t xml:space="preserve"> </w:t>
      </w:r>
      <w:r>
        <w:t xml:space="preserve">shows a Hanson–Wright-type bound for independent sub-Weibull variables. In the HTLA context, noting these results would clarify that if the block noise is heavy-tailed, error probabilities obey a slower (subexponential) decay, and one may need additional moment or log-concavity assumptions to recover sharp sub-Gaussian behavior</w:t>
      </w:r>
      <w:hyperlink r:id="rId26">
        <w:r>
          <w:rPr>
            <w:rStyle w:val="Hyperlink"/>
          </w:rPr>
          <w:t xml:space="preserve">[4]</w:t>
        </w:r>
      </w:hyperlink>
      <w:r>
        <w:t xml:space="preserve">.</w:t>
      </w:r>
    </w:p>
    <w:bookmarkEnd w:id="27"/>
    <w:bookmarkStart w:id="30" w:name="quantum-block-structured-solvers"/>
    <w:p>
      <w:pPr>
        <w:pStyle w:val="Heading3"/>
      </w:pPr>
      <w:r>
        <w:t xml:space="preserve">Quantum Block-Structured Solvers</w:t>
      </w:r>
    </w:p>
    <w:p>
      <w:pPr>
        <w:pStyle w:val="FirstParagraph"/>
      </w:pPr>
      <w:r>
        <w:t xml:space="preserve">Theorem 5.2 invokes the HHL quantum linear solver for a block-encoded operator. To emphasize HTLA’s structure, one can discuss</w:t>
      </w:r>
      <w:r>
        <w:t xml:space="preserve"> </w:t>
      </w:r>
      <w:r>
        <w:rPr>
          <w:i/>
          <w:iCs/>
        </w:rPr>
        <w:t xml:space="preserve">block-encoding</w:t>
      </w:r>
      <w:r>
        <w:t xml:space="preserve"> </w:t>
      </w:r>
      <w:r>
        <w:t xml:space="preserve">more explicitly. Modern quantum algorithms show that structured matrices (including block or tensor-structured matrices) admit efficient block-encodings and singular-value transformations</w:t>
      </w:r>
      <w:hyperlink r:id="rId28">
        <w:r>
          <w:rPr>
            <w:rStyle w:val="Hyperlink"/>
          </w:rPr>
          <w:t xml:space="preserve">[5]</w:t>
        </w:r>
      </w:hyperlink>
      <w:hyperlink r:id="rId29">
        <w:r>
          <w:rPr>
            <w:rStyle w:val="Hyperlink"/>
          </w:rPr>
          <w:t xml:space="preserve">[6]</w:t>
        </w:r>
      </w:hyperlink>
      <w:r>
        <w:t xml:space="preserve">. For instance, Lin-Chun Wan et al. demonstrate that block-encodings of structured (e.g. Toeplitz/Hankel) matrices yield solvers with</w:t>
      </w:r>
      <w:r>
        <w:t xml:space="preserve"> </w:t>
      </w:r>
      <w:r>
        <w:rPr>
          <w:b/>
          <w:bCs/>
        </w:rPr>
        <w:t xml:space="preserve">logarithmic</w:t>
      </w:r>
      <w:r>
        <w:t xml:space="preserve"> </w:t>
      </w:r>
      <w:r>
        <w:t xml:space="preserve">dependence on dimension and poly-log factors, giving</w:t>
      </w:r>
      <w:r>
        <w:t xml:space="preserve"> </w:t>
      </w:r>
      <w:r>
        <w:rPr>
          <w:i/>
          <w:iCs/>
        </w:rPr>
        <w:t xml:space="preserve">exponential</w:t>
      </w:r>
      <w:r>
        <w:t xml:space="preserve"> </w:t>
      </w:r>
      <w:r>
        <w:t xml:space="preserve">speedups in favorable models</w:t>
      </w:r>
      <w:hyperlink r:id="rId28">
        <w:r>
          <w:rPr>
            <w:rStyle w:val="Hyperlink"/>
          </w:rPr>
          <w:t xml:space="preserve">[5]</w:t>
        </w:r>
      </w:hyperlink>
      <w:r>
        <w:t xml:space="preserve">. Similarly, Sünderhauf et al. describe block-encoding circuits that exploit sparsity and repeated patterns, achieving dramatically reduced resource costs for matrices with structure</w:t>
      </w:r>
      <w:hyperlink r:id="rId29">
        <w:r>
          <w:rPr>
            <w:rStyle w:val="Hyperlink"/>
          </w:rPr>
          <w:t xml:space="preserve">[6]</w:t>
        </w:r>
      </w:hyperlink>
      <w:r>
        <w:t xml:space="preserve">. By analogy, an HTLA operator composed of low-rank blocks or tensor factors could be quantum-inverted by a</w:t>
      </w:r>
      <w:r>
        <w:t xml:space="preserve"> </w:t>
      </w:r>
      <w:r>
        <w:rPr>
          <w:i/>
          <w:iCs/>
        </w:rPr>
        <w:t xml:space="preserve">block-HHL</w:t>
      </w:r>
      <w:r>
        <w:t xml:space="preserve"> </w:t>
      </w:r>
      <w:r>
        <w:t xml:space="preserve">approach: first encode ℒ as a quantum block-encoding and then apply quantum phase estimation or quantum singular value transformation. This would make explicit how HTLA’s block and tensor network decomposition enables quantum solvers that beat the classical $\mathcal{O}((\prod n_\ell)^\omega)$ complexity, recovering the stated quantum speedup and potentially even improving the κ-dependence by block-wise preconditioning</w:t>
      </w:r>
      <w:hyperlink r:id="rId28">
        <w:r>
          <w:rPr>
            <w:rStyle w:val="Hyperlink"/>
          </w:rPr>
          <w:t xml:space="preserve">[5]</w:t>
        </w:r>
      </w:hyperlink>
      <w:hyperlink r:id="rId29">
        <w:r>
          <w:rPr>
            <w:rStyle w:val="Hyperlink"/>
          </w:rPr>
          <w:t xml:space="preserve">[6]</w:t>
        </w:r>
      </w:hyperlink>
      <w:r>
        <w:t xml:space="preserve">.</w:t>
      </w:r>
    </w:p>
    <w:bookmarkEnd w:id="30"/>
    <w:bookmarkStart w:id="32" w:name="synthetic-benchmarking-for-htla"/>
    <w:p>
      <w:pPr>
        <w:pStyle w:val="Heading3"/>
      </w:pPr>
      <w:r>
        <w:t xml:space="preserve">Synthetic Benchmarking for HTLA</w:t>
      </w:r>
    </w:p>
    <w:p>
      <w:pPr>
        <w:pStyle w:val="FirstParagraph"/>
      </w:pPr>
      <w:r>
        <w:t xml:space="preserve">To test theoretical bounds (e.g. Thm.4.2 on information preservation or Thm.6.1 on VC-dimension), one should design</w:t>
      </w:r>
      <w:r>
        <w:t xml:space="preserve"> </w:t>
      </w:r>
      <w:r>
        <w:rPr>
          <w:b/>
          <w:bCs/>
        </w:rPr>
        <w:t xml:space="preserve">scalable synthetic benchmarks</w:t>
      </w:r>
      <w:r>
        <w:t xml:space="preserve">. A natural approach is to generate random block-operators with known low-rank or planted structure. This mirrors classical benchmarks: for example, the LINPACK benchmark evaluates linear solvers on random dense matrices</w:t>
      </w:r>
      <w:hyperlink r:id="rId31">
        <w:r>
          <w:rPr>
            <w:rStyle w:val="Hyperlink"/>
          </w:rPr>
          <w:t xml:space="preserve">[7]</w:t>
        </w:r>
      </w:hyperlink>
      <w:r>
        <w:t xml:space="preserve">. In the quantum realm, a</w:t>
      </w:r>
      <w:r>
        <w:t xml:space="preserve"> </w:t>
      </w:r>
      <w:r>
        <w:rPr>
          <w:i/>
          <w:iCs/>
        </w:rPr>
        <w:t xml:space="preserve">Random Circuit Block-Encoded Matrix (RACBEM)</w:t>
      </w:r>
      <w:r>
        <w:t xml:space="preserve"> </w:t>
      </w:r>
      <w:r>
        <w:t xml:space="preserve">model was proposed as a quantum analog of random matrices</w:t>
      </w:r>
      <w:hyperlink r:id="rId31">
        <w:r>
          <w:rPr>
            <w:rStyle w:val="Hyperlink"/>
          </w:rPr>
          <w:t xml:space="preserve">[7]</w:t>
        </w:r>
      </w:hyperlink>
      <w:r>
        <w:t xml:space="preserve">. In our setting, one could create random HTLA operators by specifying block sizes $n_\ell$ and filling blocks with low-rank factors plus noise. Running HTLA algorithms on such data would allow empirical measurement of mutual information before/after JL projections, and of generalization error versus the rank bounds. Comparing these measurements to the theoretical limits would verify tightness. In short, a “synthetic benchmark” for HTLA—akin to a randomized LINPACK—can clarify how well the bounds (e.g. $\epsilon$ in Thm.4.2 or the $\sum\mathrm{rank}$ in Thm.6.1) reflect actual performance</w:t>
      </w:r>
      <w:hyperlink r:id="rId31">
        <w:r>
          <w:rPr>
            <w:rStyle w:val="Hyperlink"/>
          </w:rPr>
          <w:t xml:space="preserve">[7]</w:t>
        </w:r>
      </w:hyperlink>
      <w:r>
        <w:t xml:space="preserve">.</w:t>
      </w:r>
    </w:p>
    <w:bookmarkEnd w:id="32"/>
    <w:bookmarkStart w:id="35" w:name="nonlinear-gauge-equivariant-extensions"/>
    <w:p>
      <w:pPr>
        <w:pStyle w:val="Heading3"/>
      </w:pPr>
      <w:r>
        <w:t xml:space="preserve">Nonlinear, Gauge-Equivariant Extensions</w:t>
      </w:r>
    </w:p>
    <w:p>
      <w:pPr>
        <w:pStyle w:val="FirstParagraph"/>
      </w:pPr>
      <w:r>
        <w:t xml:space="preserve">The mention of “σ(ℒH) with gauge-equivariant activations” suggests extending HTLA beyond linearity. In geometric deep learning, it is well-known that to preserve symmetry a network’s</w:t>
      </w:r>
      <w:r>
        <w:t xml:space="preserve"> </w:t>
      </w:r>
      <w:r>
        <w:rPr>
          <w:b/>
          <w:bCs/>
        </w:rPr>
        <w:t xml:space="preserve">nonlinear activations</w:t>
      </w:r>
      <w:r>
        <w:t xml:space="preserve"> </w:t>
      </w:r>
      <w:r>
        <w:t xml:space="preserve">must themselves be equivariant</w:t>
      </w:r>
      <w:hyperlink r:id="rId33">
        <w:r>
          <w:rPr>
            <w:rStyle w:val="Hyperlink"/>
          </w:rPr>
          <w:t xml:space="preserve">[8]</w:t>
        </w:r>
      </w:hyperlink>
      <w:r>
        <w:t xml:space="preserve">. Concretely, an activation function σ acting pointwise on feature components will be equivariant if it commutes with the group action on each block</w:t>
      </w:r>
      <w:hyperlink r:id="rId34">
        <w:r>
          <w:rPr>
            <w:rStyle w:val="Hyperlink"/>
          </w:rPr>
          <w:t xml:space="preserve">[9]</w:t>
        </w:r>
      </w:hyperlink>
      <w:r>
        <w:t xml:space="preserve">. Thus, one can introduce elementwise nonlinearities (e.g. ReLU, ELU, or even polynomial activations) applied label-by-label, provided they respect label permutations or gauge transformations. This is analogous to the “pointwise” equivariant nonlinearities used in group CNNs</w:t>
      </w:r>
      <w:hyperlink r:id="rId34">
        <w:r>
          <w:rPr>
            <w:rStyle w:val="Hyperlink"/>
          </w:rPr>
          <w:t xml:space="preserve">[9]</w:t>
        </w:r>
      </w:hyperlink>
      <w:r>
        <w:t xml:space="preserve">. Incorporating such σ into HTLA yields a</w:t>
      </w:r>
      <w:r>
        <w:t xml:space="preserve"> </w:t>
      </w:r>
      <w:r>
        <w:rPr>
          <w:i/>
          <w:iCs/>
        </w:rPr>
        <w:t xml:space="preserve">nonlinear HTLA</w:t>
      </w:r>
      <w:r>
        <w:t xml:space="preserve"> </w:t>
      </w:r>
      <w:r>
        <w:t xml:space="preserve">model: blocks of ℒ apply linear mixing, followed by an equivariant nonlinearity on each component of H. This extends HTLA in a neural-network fashion while retaining the labeled-vector-space symmetry, in line with the theory of equivariant neural networks</w:t>
      </w:r>
      <w:hyperlink r:id="rId33">
        <w:r>
          <w:rPr>
            <w:rStyle w:val="Hyperlink"/>
          </w:rPr>
          <w:t xml:space="preserve">[8]</w:t>
        </w:r>
      </w:hyperlink>
      <w:hyperlink r:id="rId34">
        <w:r>
          <w:rPr>
            <w:rStyle w:val="Hyperlink"/>
          </w:rPr>
          <w:t xml:space="preserve">[9]</w:t>
        </w:r>
      </w:hyperlink>
      <w:r>
        <w:t xml:space="preserve">.</w:t>
      </w:r>
    </w:p>
    <w:bookmarkEnd w:id="35"/>
    <w:bookmarkStart w:id="37" w:name="X0817fcea9d63a90aa709bf212d2abaa6ece1956"/>
    <w:p>
      <w:pPr>
        <w:pStyle w:val="Heading3"/>
      </w:pPr>
      <w:r>
        <w:t xml:space="preserve">Continuous-Time Adaptation (Dynamic Labels)</w:t>
      </w:r>
    </w:p>
    <w:p>
      <w:pPr>
        <w:pStyle w:val="FirstParagraph"/>
      </w:pPr>
      <w:r>
        <w:t xml:space="preserve">One can also imagine</w:t>
      </w:r>
      <w:r>
        <w:t xml:space="preserve"> </w:t>
      </w:r>
      <w:r>
        <w:rPr>
          <w:i/>
          <w:iCs/>
        </w:rPr>
        <w:t xml:space="preserve">continuous</w:t>
      </w:r>
      <w:r>
        <w:t xml:space="preserve"> </w:t>
      </w:r>
      <w:r>
        <w:t xml:space="preserve">or time-varying HTLA. In this extension, the operator ℒ and its label spaces evolve according to a differential equation $$\frac{\partial \mathcal L}{\partial t} = \mathcal F(\mathcal L)\,, $$for some functional $\mathcal F$. This is reminiscent of neural ODEs, where hidden states follow continuous flows $\dot H = f(H)$ rather than discrete layers</w:t>
      </w:r>
      <w:hyperlink r:id="rId36">
        <w:r>
          <w:rPr>
            <w:rStyle w:val="Hyperlink"/>
          </w:rPr>
          <w:t xml:space="preserve">[10]</w:t>
        </w:r>
      </w:hyperlink>
      <w:r>
        <w:t xml:space="preserve">. Here the “hidden state” is the label-structure of ℒ itself. For example, $\mathcal F$ could be a gradient flow of a loss or a geometric flow (akin to Ricci flow) on the space of block operators. Such a framework would model HTLA that adaptively changes dimensions or embeddings over (continuous) time—perhaps useful for streaming or non-stationary data. The literature on Neural ODEs confirms that many discrete models are limits of continuous flows</w:t>
      </w:r>
      <w:hyperlink r:id="rId36">
        <w:r>
          <w:rPr>
            <w:rStyle w:val="Hyperlink"/>
          </w:rPr>
          <w:t xml:space="preserve">[10]</w:t>
        </w:r>
      </w:hyperlink>
      <w:r>
        <w:t xml:space="preserve">, so casting HTLA in a continuous setting could provide new training dynamics and regularization perspectives.</w:t>
      </w:r>
    </w:p>
    <w:bookmarkEnd w:id="37"/>
    <w:bookmarkStart w:id="40" w:name="Xb08fa87ba0fb50ff5478ae815008b36b0f7c631"/>
    <w:p>
      <w:pPr>
        <w:pStyle w:val="Heading3"/>
      </w:pPr>
      <w:r>
        <w:t xml:space="preserve">Emergent Geometry and Curvature (Quantum Gravity Links)</w:t>
      </w:r>
    </w:p>
    <w:p>
      <w:pPr>
        <w:pStyle w:val="FirstParagraph"/>
      </w:pPr>
      <w:r>
        <w:t xml:space="preserve">The metric form $ds^2=\langle dH,dH\rangle_w$ and the role of $\kappa_{label}$ invite a geometric/physical interpretation. In fact, there is an intriguing parallel to ideas of emergent spacetime: quantum information and entanglement can give rise to an emergent geometry whose curvature relates to information structure</w:t>
      </w:r>
      <w:hyperlink r:id="rId38">
        <w:r>
          <w:rPr>
            <w:rStyle w:val="Hyperlink"/>
          </w:rPr>
          <w:t xml:space="preserve">[11]</w:t>
        </w:r>
      </w:hyperlink>
      <w:r>
        <w:t xml:space="preserve">. For example, it has been shown that entanglement entropy in a many-body system maps to the area of an extremal surface in a dual spacetime</w:t>
      </w:r>
      <w:hyperlink r:id="rId38">
        <w:r>
          <w:rPr>
            <w:rStyle w:val="Hyperlink"/>
          </w:rPr>
          <w:t xml:space="preserve">[11]</w:t>
        </w:r>
      </w:hyperlink>
      <w:r>
        <w:t xml:space="preserve">. Likewise, one can view our label metric as inducing a “manifold” of hypervectors, whose curvature (via $\kappa_{label}$) plays a role similar to Ricci curvature. Supporting this view, recent mathematical work defines Ricci curvature bounds on statistical manifolds, linking them to learning dynamics (e.g. convergence rates of gradient descent on KL divergence)</w:t>
      </w:r>
      <w:hyperlink r:id="rId39">
        <w:r>
          <w:rPr>
            <w:rStyle w:val="Hyperlink"/>
          </w:rPr>
          <w:t xml:space="preserve">[12]</w:t>
        </w:r>
      </w:hyperlink>
      <w:r>
        <w:t xml:space="preserve">. In HTLA, if labels have an underlying probabilistic interpretation, then $\kappa_{label}$ effectively encodes the curvature of a label manifold in the sense of information geometry. This suggests a bold perspective: the HTLA framework could be seen as defining an emergent “spacetime” of data, where label curvature encodes geometric obstructions in the data’s dimension transitions</w:t>
      </w:r>
      <w:hyperlink r:id="rId38">
        <w:r>
          <w:rPr>
            <w:rStyle w:val="Hyperlink"/>
          </w:rPr>
          <w:t xml:space="preserve">[11]</w:t>
        </w:r>
      </w:hyperlink>
      <w:hyperlink r:id="rId39">
        <w:r>
          <w:rPr>
            <w:rStyle w:val="Hyperlink"/>
          </w:rPr>
          <w:t xml:space="preserve">[12]</w:t>
        </w:r>
      </w:hyperlink>
      <w:r>
        <w:t xml:space="preserve">.</w:t>
      </w:r>
    </w:p>
    <w:p>
      <w:pPr>
        <w:pStyle w:val="BodyText"/>
      </w:pPr>
      <w:r>
        <w:rPr>
          <w:b/>
          <w:bCs/>
        </w:rPr>
        <w:t xml:space="preserve">References:</w:t>
      </w:r>
      <w:r>
        <w:t xml:space="preserve"> </w:t>
      </w:r>
      <w:r>
        <w:t xml:space="preserve">The above points draw on modern developments in information geometry</w:t>
      </w:r>
      <w:hyperlink r:id="rId21">
        <w:r>
          <w:rPr>
            <w:rStyle w:val="Hyperlink"/>
          </w:rPr>
          <w:t xml:space="preserve">[1]</w:t>
        </w:r>
      </w:hyperlink>
      <w:hyperlink r:id="rId22">
        <w:r>
          <w:rPr>
            <w:rStyle w:val="Hyperlink"/>
          </w:rPr>
          <w:t xml:space="preserve">[2]</w:t>
        </w:r>
      </w:hyperlink>
      <w:hyperlink r:id="rId39">
        <w:r>
          <w:rPr>
            <w:rStyle w:val="Hyperlink"/>
          </w:rPr>
          <w:t xml:space="preserve">[12]</w:t>
        </w:r>
      </w:hyperlink>
      <w:r>
        <w:t xml:space="preserve">, topological data analysis</w:t>
      </w:r>
      <w:hyperlink r:id="rId24">
        <w:r>
          <w:rPr>
            <w:rStyle w:val="Hyperlink"/>
          </w:rPr>
          <w:t xml:space="preserve">[3]</w:t>
        </w:r>
      </w:hyperlink>
      <w:r>
        <w:t xml:space="preserve">, concentration inequalities</w:t>
      </w:r>
      <w:hyperlink r:id="rId26">
        <w:r>
          <w:rPr>
            <w:rStyle w:val="Hyperlink"/>
          </w:rPr>
          <w:t xml:space="preserve">[4]</w:t>
        </w:r>
      </w:hyperlink>
      <w:r>
        <w:t xml:space="preserve">, quantum algorithms</w:t>
      </w:r>
      <w:hyperlink r:id="rId28">
        <w:r>
          <w:rPr>
            <w:rStyle w:val="Hyperlink"/>
          </w:rPr>
          <w:t xml:space="preserve">[5]</w:t>
        </w:r>
      </w:hyperlink>
      <w:hyperlink r:id="rId29">
        <w:r>
          <w:rPr>
            <w:rStyle w:val="Hyperlink"/>
          </w:rPr>
          <w:t xml:space="preserve">[6]</w:t>
        </w:r>
      </w:hyperlink>
      <w:hyperlink r:id="rId31">
        <w:r>
          <w:rPr>
            <w:rStyle w:val="Hyperlink"/>
          </w:rPr>
          <w:t xml:space="preserve">[7]</w:t>
        </w:r>
      </w:hyperlink>
      <w:r>
        <w:t xml:space="preserve">, equivariant deep learning</w:t>
      </w:r>
      <w:hyperlink r:id="rId33">
        <w:r>
          <w:rPr>
            <w:rStyle w:val="Hyperlink"/>
          </w:rPr>
          <w:t xml:space="preserve">[8]</w:t>
        </w:r>
      </w:hyperlink>
      <w:hyperlink r:id="rId34">
        <w:r>
          <w:rPr>
            <w:rStyle w:val="Hyperlink"/>
          </w:rPr>
          <w:t xml:space="preserve">[9]</w:t>
        </w:r>
      </w:hyperlink>
      <w:r>
        <w:t xml:space="preserve">, neural differential equations</w:t>
      </w:r>
      <w:hyperlink r:id="rId36">
        <w:r>
          <w:rPr>
            <w:rStyle w:val="Hyperlink"/>
          </w:rPr>
          <w:t xml:space="preserve">[10]</w:t>
        </w:r>
      </w:hyperlink>
      <w:r>
        <w:t xml:space="preserve">, and holographic spacetime ideas</w:t>
      </w:r>
      <w:hyperlink r:id="rId38">
        <w:r>
          <w:rPr>
            <w:rStyle w:val="Hyperlink"/>
          </w:rPr>
          <w:t xml:space="preserve">[11]</w:t>
        </w:r>
      </w:hyperlink>
      <w:r>
        <w:t xml:space="preserve">.</w:t>
      </w:r>
    </w:p>
    <w:bookmarkEnd w:id="40"/>
    <w:bookmarkEnd w:id="41"/>
    <w:bookmarkEnd w:id="42"/>
    <w:p>
      <w:r>
        <w:pict>
          <v:rect style="width:0;height:1.5pt" o:hralign="center" o:hrstd="t" o:hr="t"/>
        </w:pict>
      </w:r>
    </w:p>
    <w:bookmarkStart w:id="54" w:name="citations"/>
    <w:p>
      <w:pPr>
        <w:pStyle w:val="FirstParagraph"/>
      </w:pPr>
      <w:hyperlink r:id="rId21">
        <w:r>
          <w:rPr>
            <w:rStyle w:val="Hyperlink"/>
          </w:rPr>
          <w:t xml:space="preserve">[1]</w:t>
        </w:r>
      </w:hyperlink>
      <w:r>
        <w:t xml:space="preserve"> </w:t>
      </w:r>
      <w:r>
        <w:t xml:space="preserve">arxiv.org</w:t>
      </w:r>
    </w:p>
    <w:p>
      <w:pPr>
        <w:pStyle w:val="BodyText"/>
      </w:pPr>
      <w:hyperlink r:id="rId43">
        <w:r>
          <w:rPr>
            <w:rStyle w:val="Hyperlink"/>
          </w:rPr>
          <w:t xml:space="preserve">https://arxiv.org/pdf/2208.11861</w:t>
        </w:r>
      </w:hyperlink>
    </w:p>
    <w:p>
      <w:pPr>
        <w:pStyle w:val="BodyText"/>
      </w:pPr>
      <w:hyperlink r:id="rId22">
        <w:r>
          <w:rPr>
            <w:rStyle w:val="Hyperlink"/>
          </w:rPr>
          <w:t xml:space="preserve">[2]</w:t>
        </w:r>
      </w:hyperlink>
      <w:r>
        <w:t xml:space="preserve"> </w:t>
      </w:r>
      <w:r>
        <w:t xml:space="preserve">arxiv.org</w:t>
      </w:r>
    </w:p>
    <w:p>
      <w:pPr>
        <w:pStyle w:val="BodyText"/>
      </w:pPr>
      <w:hyperlink r:id="rId44">
        <w:r>
          <w:rPr>
            <w:rStyle w:val="Hyperlink"/>
          </w:rPr>
          <w:t xml:space="preserve">https://arxiv.org/pdf/2305.08422</w:t>
        </w:r>
      </w:hyperlink>
    </w:p>
    <w:p>
      <w:pPr>
        <w:pStyle w:val="BodyText"/>
      </w:pPr>
      <w:hyperlink r:id="rId24">
        <w:r>
          <w:rPr>
            <w:rStyle w:val="Hyperlink"/>
          </w:rPr>
          <w:t xml:space="preserve">[3]</w:t>
        </w:r>
      </w:hyperlink>
      <w:r>
        <w:t xml:space="preserve"> </w:t>
      </w:r>
      <w:r>
        <w:t xml:space="preserve">Topological Methods in Machine Learning: A Tutorial for Practitioners</w:t>
      </w:r>
    </w:p>
    <w:p>
      <w:pPr>
        <w:pStyle w:val="BodyText"/>
      </w:pPr>
      <w:hyperlink r:id="rId45">
        <w:r>
          <w:rPr>
            <w:rStyle w:val="Hyperlink"/>
          </w:rPr>
          <w:t xml:space="preserve">https://arxiv.org/html/2409.02901v1</w:t>
        </w:r>
      </w:hyperlink>
    </w:p>
    <w:p>
      <w:pPr>
        <w:pStyle w:val="BodyText"/>
      </w:pPr>
      <w:hyperlink r:id="rId26">
        <w:r>
          <w:rPr>
            <w:rStyle w:val="Hyperlink"/>
          </w:rPr>
          <w:t xml:space="preserve">[4]</w:t>
        </w:r>
      </w:hyperlink>
      <w:r>
        <w:t xml:space="preserve"> </w:t>
      </w:r>
      <w:r>
        <w:t xml:space="preserve">2020-0041.dvi</w:t>
      </w:r>
    </w:p>
    <w:p>
      <w:pPr>
        <w:pStyle w:val="BodyText"/>
      </w:pPr>
      <w:hyperlink r:id="rId46">
        <w:r>
          <w:rPr>
            <w:rStyle w:val="Hyperlink"/>
          </w:rPr>
          <w:t xml:space="preserve">https://songxichen.com/Uploads/Files/Publication/Zhang-Chen-CMR_01_2021.pdf</w:t>
        </w:r>
      </w:hyperlink>
    </w:p>
    <w:p>
      <w:pPr>
        <w:pStyle w:val="BodyText"/>
      </w:pPr>
      <w:hyperlink r:id="rId28">
        <w:r>
          <w:rPr>
            <w:rStyle w:val="Hyperlink"/>
          </w:rPr>
          <w:t xml:space="preserve">[5]</w:t>
        </w:r>
      </w:hyperlink>
      <w:r>
        <w:t xml:space="preserve"> </w:t>
      </w:r>
      <w:r>
        <w:t xml:space="preserve">[1912.12212] Block-encoding based quantum algorithm for linear systems with displacement structures</w:t>
      </w:r>
    </w:p>
    <w:p>
      <w:pPr>
        <w:pStyle w:val="BodyText"/>
      </w:pPr>
      <w:hyperlink r:id="rId47">
        <w:r>
          <w:rPr>
            <w:rStyle w:val="Hyperlink"/>
          </w:rPr>
          <w:t xml:space="preserve">https://arxiv.org/abs/1912.12212</w:t>
        </w:r>
      </w:hyperlink>
    </w:p>
    <w:p>
      <w:pPr>
        <w:pStyle w:val="BodyText"/>
      </w:pPr>
      <w:hyperlink r:id="rId29">
        <w:r>
          <w:rPr>
            <w:rStyle w:val="Hyperlink"/>
          </w:rPr>
          <w:t xml:space="preserve">[6]</w:t>
        </w:r>
      </w:hyperlink>
      <w:r>
        <w:t xml:space="preserve"> </w:t>
      </w:r>
      <w:r>
        <w:t xml:space="preserve">Block-encoding structured matrices for data input in quantum computing – Quantum</w:t>
      </w:r>
    </w:p>
    <w:p>
      <w:pPr>
        <w:pStyle w:val="BodyText"/>
      </w:pPr>
      <w:hyperlink r:id="rId48">
        <w:r>
          <w:rPr>
            <w:rStyle w:val="Hyperlink"/>
          </w:rPr>
          <w:t xml:space="preserve">https://quantum-journal.org/papers/q-2024-01-11-1226/</w:t>
        </w:r>
      </w:hyperlink>
    </w:p>
    <w:p>
      <w:pPr>
        <w:pStyle w:val="BodyText"/>
      </w:pPr>
      <w:hyperlink r:id="rId31">
        <w:r>
          <w:rPr>
            <w:rStyle w:val="Hyperlink"/>
          </w:rPr>
          <w:t xml:space="preserve">[7]</w:t>
        </w:r>
      </w:hyperlink>
      <w:r>
        <w:t xml:space="preserve"> </w:t>
      </w:r>
      <w:r>
        <w:t xml:space="preserve">Random circuit block-encoded matrix and a proposal of quantum LINPACK benchmark | Phys. Rev. A</w:t>
      </w:r>
    </w:p>
    <w:p>
      <w:pPr>
        <w:pStyle w:val="BodyText"/>
      </w:pPr>
      <w:hyperlink r:id="rId49">
        <w:r>
          <w:rPr>
            <w:rStyle w:val="Hyperlink"/>
          </w:rPr>
          <w:t xml:space="preserve">https://journals.aps.org/pra/abstract/10.1103/PhysRevA.103.062412</w:t>
        </w:r>
      </w:hyperlink>
    </w:p>
    <w:p>
      <w:pPr>
        <w:pStyle w:val="BodyText"/>
      </w:pPr>
      <w:hyperlink r:id="rId33">
        <w:r>
          <w:rPr>
            <w:rStyle w:val="Hyperlink"/>
          </w:rPr>
          <w:t xml:space="preserve">[8]</w:t>
        </w:r>
      </w:hyperlink>
      <w:r>
        <w:t xml:space="preserve"> </w:t>
      </w:r>
      <w:hyperlink r:id="rId34">
        <w:r>
          <w:rPr>
            <w:rStyle w:val="Hyperlink"/>
          </w:rPr>
          <w:t xml:space="preserve">[9]</w:t>
        </w:r>
      </w:hyperlink>
      <w:r>
        <w:t xml:space="preserve"> </w:t>
      </w:r>
      <w:r>
        <w:t xml:space="preserve">Geometric deep learning and equivariant neural networks | Artificial Intelligence Review</w:t>
      </w:r>
      <w:r>
        <w:t xml:space="preserve"> </w:t>
      </w:r>
    </w:p>
    <w:p>
      <w:pPr>
        <w:pStyle w:val="BodyText"/>
      </w:pPr>
      <w:hyperlink r:id="rId50">
        <w:r>
          <w:rPr>
            <w:rStyle w:val="Hyperlink"/>
          </w:rPr>
          <w:t xml:space="preserve">https://link.springer.com/article/10.1007/s10462-023-10502-7</w:t>
        </w:r>
      </w:hyperlink>
    </w:p>
    <w:p>
      <w:pPr>
        <w:pStyle w:val="BodyText"/>
      </w:pPr>
      <w:hyperlink r:id="rId36">
        <w:r>
          <w:rPr>
            <w:rStyle w:val="Hyperlink"/>
          </w:rPr>
          <w:t xml:space="preserve">[10]</w:t>
        </w:r>
      </w:hyperlink>
      <w:r>
        <w:t xml:space="preserve"> </w:t>
      </w:r>
      <w:r>
        <w:t xml:space="preserve">Comprehensive Review of Neural Differential Equations for Time Series Analysis</w:t>
      </w:r>
    </w:p>
    <w:p>
      <w:pPr>
        <w:pStyle w:val="BodyText"/>
      </w:pPr>
      <w:hyperlink r:id="rId51">
        <w:r>
          <w:rPr>
            <w:rStyle w:val="Hyperlink"/>
          </w:rPr>
          <w:t xml:space="preserve">https://arxiv.org/html/2502.09885v1</w:t>
        </w:r>
      </w:hyperlink>
    </w:p>
    <w:p>
      <w:pPr>
        <w:pStyle w:val="BodyText"/>
      </w:pPr>
      <w:hyperlink r:id="rId38">
        <w:r>
          <w:rPr>
            <w:rStyle w:val="Hyperlink"/>
          </w:rPr>
          <w:t xml:space="preserve">[11]</w:t>
        </w:r>
      </w:hyperlink>
      <w:r>
        <w:t xml:space="preserve"> </w:t>
      </w:r>
      <w:r>
        <w:t xml:space="preserve">Essay: Emergent Holographic Spacetime from Quantum Information | Phys. Rev. Lett.</w:t>
      </w:r>
    </w:p>
    <w:p>
      <w:pPr>
        <w:pStyle w:val="BodyText"/>
      </w:pPr>
      <w:hyperlink r:id="rId52">
        <w:r>
          <w:rPr>
            <w:rStyle w:val="Hyperlink"/>
          </w:rPr>
          <w:t xml:space="preserve">https://journals.aps.org/prl/abstract/10.1103/pg4r-fy8n</w:t>
        </w:r>
      </w:hyperlink>
    </w:p>
    <w:p>
      <w:pPr>
        <w:pStyle w:val="BodyText"/>
      </w:pPr>
      <w:hyperlink r:id="rId39">
        <w:r>
          <w:rPr>
            <w:rStyle w:val="Hyperlink"/>
          </w:rPr>
          <w:t xml:space="preserve">[12]</w:t>
        </w:r>
      </w:hyperlink>
      <w:r>
        <w:t xml:space="preserve"> </w:t>
      </w:r>
      <w:r>
        <w:t xml:space="preserve">ww3.math.ucla.edu</w:t>
      </w:r>
    </w:p>
    <w:p>
      <w:pPr>
        <w:pStyle w:val="BodyText"/>
      </w:pPr>
      <w:hyperlink r:id="rId53">
        <w:r>
          <w:rPr>
            <w:rStyle w:val="Hyperlink"/>
          </w:rPr>
          <w:t xml:space="preserve">https://ww3.math.ucla.edu/camreport/cam18-52.pdf</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rxiv.org/abs/1912.12212" TargetMode="External" /><Relationship Type="http://schemas.openxmlformats.org/officeDocument/2006/relationships/hyperlink" Id="rId28" Target="https://arxiv.org/abs/1912.12212#:~:text=representations%2C%20we%20then%20construct%20%24%5Cepsilon%24,linear%20system%20solvers%20is%20applied" TargetMode="External" /><Relationship Type="http://schemas.openxmlformats.org/officeDocument/2006/relationships/hyperlink" Id="rId45" Target="https://arxiv.org/html/2409.02901v1" TargetMode="External" /><Relationship Type="http://schemas.openxmlformats.org/officeDocument/2006/relationships/hyperlink" Id="rId24" Target="https://arxiv.org/html/2409.02901v1#:~:text=In%20this%20paper%2C%20we%20teach,deriving%20effective%20topological%20vectors%20from" TargetMode="External" /><Relationship Type="http://schemas.openxmlformats.org/officeDocument/2006/relationships/hyperlink" Id="rId51" Target="https://arxiv.org/html/2502.09885v1" TargetMode="External" /><Relationship Type="http://schemas.openxmlformats.org/officeDocument/2006/relationships/hyperlink" Id="rId36" Target="https://arxiv.org/html/2502.09885v1#:~:text=Neural%20Differential%20Equations%20,model%20uncertainty%20through" TargetMode="External" /><Relationship Type="http://schemas.openxmlformats.org/officeDocument/2006/relationships/hyperlink" Id="rId43" Target="https://arxiv.org/pdf/2208.11861" TargetMode="External" /><Relationship Type="http://schemas.openxmlformats.org/officeDocument/2006/relationships/hyperlink" Id="rId21" Target="https://arxiv.org/pdf/2208.11861#:~:text=Remark%202,the%20second%20derivative%20of%20the" TargetMode="External" /><Relationship Type="http://schemas.openxmlformats.org/officeDocument/2006/relationships/hyperlink" Id="rId44" Target="https://arxiv.org/pdf/2305.08422" TargetMode="External" /><Relationship Type="http://schemas.openxmlformats.org/officeDocument/2006/relationships/hyperlink" Id="rId22" Target="https://arxiv.org/pdf/2305.08422#:~:text=The%20notion%20of%20dually%20flat,Hesse%20manifold%20gives%20a%20unified" TargetMode="External" /><Relationship Type="http://schemas.openxmlformats.org/officeDocument/2006/relationships/hyperlink" Id="rId49" Target="https://journals.aps.org/pra/abstract/10.1103/PhysRevA.103.062412" TargetMode="External" /><Relationship Type="http://schemas.openxmlformats.org/officeDocument/2006/relationships/hyperlink" Id="rId31" Target="https://journals.aps.org/pra/abstract/10.1103/PhysRevA.103.062412#:~:text=The%20LINPACK%20benchmark%20reports%20the,We%20propose%20an" TargetMode="External" /><Relationship Type="http://schemas.openxmlformats.org/officeDocument/2006/relationships/hyperlink" Id="rId52" Target="https://journals.aps.org/prl/abstract/10.1103/pg4r-fy8n" TargetMode="External" /><Relationship Type="http://schemas.openxmlformats.org/officeDocument/2006/relationships/hyperlink" Id="rId38" Target="https://journals.aps.org/prl/abstract/10.1103/pg4r-fy8n#:~:text=Holographic%20duality%20describes%20gravitational%20theories,step%20in%20this%20direction%20is" TargetMode="External" /><Relationship Type="http://schemas.openxmlformats.org/officeDocument/2006/relationships/hyperlink" Id="rId50" Target="https://link.springer.com/article/10.1007/s10462-023-10502-7" TargetMode="External" /><Relationship Type="http://schemas.openxmlformats.org/officeDocument/2006/relationships/hyperlink" Id="rId34" Target="https://link.springer.com/article/10.1007/s10462-023-10502-7#:~:text=A%20nonlinear%20activation%20function%20of,nonlinearity%20additionally%20satisfies%20the%20constraint" TargetMode="External" /><Relationship Type="http://schemas.openxmlformats.org/officeDocument/2006/relationships/hyperlink" Id="rId33" Target="https://link.springer.com/article/10.1007/s10462-023-10502-7#:~:text=So%20far%2C%20we%20have%20only,2019" TargetMode="External" /><Relationship Type="http://schemas.openxmlformats.org/officeDocument/2006/relationships/hyperlink" Id="rId48" Target="https://quantum-journal.org/papers/q-2024-01-11-1226/" TargetMode="External" /><Relationship Type="http://schemas.openxmlformats.org/officeDocument/2006/relationships/hyperlink" Id="rId29" Target="https://quantum-journal.org/papers/q-2024-01-11-1226/#:~:text=The%20cost%20of%20data%20input,give%20examples%20of%20applying%20our" TargetMode="External" /><Relationship Type="http://schemas.openxmlformats.org/officeDocument/2006/relationships/hyperlink" Id="rId46" Target="https://songxichen.com/Uploads/Files/Publication/Zhang-Chen-CMR_01_2021.pdf" TargetMode="External" /><Relationship Type="http://schemas.openxmlformats.org/officeDocument/2006/relationships/hyperlink" Id="rId26" Target="https://songxichen.com/Uploads/Files/Publication/Zhang-Chen-CMR_01_2021.pdf#:~:text=phrase%20transition%20point%2C%20and%20reflect,kAkp%E2%86%92q%20%3A%3Dsup%08kAxkq%20%3A%20kxkp%20%E2%89%A41" TargetMode="External" /><Relationship Type="http://schemas.openxmlformats.org/officeDocument/2006/relationships/hyperlink" Id="rId53" Target="https://ww3.math.ucla.edu/camreport/cam18-52.pdf" TargetMode="External" /><Relationship Type="http://schemas.openxmlformats.org/officeDocument/2006/relationships/hyperlink" Id="rId39" Target="https://ww3.math.ucla.edu/camreport/cam18-52.pdf#:~:text=paper%2C%20we%20develop%20the%20theory,Ricci%20curvature%3B%20information%20projection%3B%20Wasserstein" TargetMode="External" /></Relationships>
</file>

<file path=word/_rels/footnotes.xml.rels><?xml version="1.0" encoding="UTF-8"?><Relationships xmlns="http://schemas.openxmlformats.org/package/2006/relationships"><Relationship Type="http://schemas.openxmlformats.org/officeDocument/2006/relationships/hyperlink" Id="rId47" Target="https://arxiv.org/abs/1912.12212" TargetMode="External" /><Relationship Type="http://schemas.openxmlformats.org/officeDocument/2006/relationships/hyperlink" Id="rId28" Target="https://arxiv.org/abs/1912.12212#:~:text=representations%2C%20we%20then%20construct%20%24%5Cepsilon%24,linear%20system%20solvers%20is%20applied" TargetMode="External" /><Relationship Type="http://schemas.openxmlformats.org/officeDocument/2006/relationships/hyperlink" Id="rId45" Target="https://arxiv.org/html/2409.02901v1" TargetMode="External" /><Relationship Type="http://schemas.openxmlformats.org/officeDocument/2006/relationships/hyperlink" Id="rId24" Target="https://arxiv.org/html/2409.02901v1#:~:text=In%20this%20paper%2C%20we%20teach,deriving%20effective%20topological%20vectors%20from" TargetMode="External" /><Relationship Type="http://schemas.openxmlformats.org/officeDocument/2006/relationships/hyperlink" Id="rId51" Target="https://arxiv.org/html/2502.09885v1" TargetMode="External" /><Relationship Type="http://schemas.openxmlformats.org/officeDocument/2006/relationships/hyperlink" Id="rId36" Target="https://arxiv.org/html/2502.09885v1#:~:text=Neural%20Differential%20Equations%20,model%20uncertainty%20through" TargetMode="External" /><Relationship Type="http://schemas.openxmlformats.org/officeDocument/2006/relationships/hyperlink" Id="rId43" Target="https://arxiv.org/pdf/2208.11861" TargetMode="External" /><Relationship Type="http://schemas.openxmlformats.org/officeDocument/2006/relationships/hyperlink" Id="rId21" Target="https://arxiv.org/pdf/2208.11861#:~:text=Remark%202,the%20second%20derivative%20of%20the" TargetMode="External" /><Relationship Type="http://schemas.openxmlformats.org/officeDocument/2006/relationships/hyperlink" Id="rId44" Target="https://arxiv.org/pdf/2305.08422" TargetMode="External" /><Relationship Type="http://schemas.openxmlformats.org/officeDocument/2006/relationships/hyperlink" Id="rId22" Target="https://arxiv.org/pdf/2305.08422#:~:text=The%20notion%20of%20dually%20flat,Hesse%20manifold%20gives%20a%20unified" TargetMode="External" /><Relationship Type="http://schemas.openxmlformats.org/officeDocument/2006/relationships/hyperlink" Id="rId49" Target="https://journals.aps.org/pra/abstract/10.1103/PhysRevA.103.062412" TargetMode="External" /><Relationship Type="http://schemas.openxmlformats.org/officeDocument/2006/relationships/hyperlink" Id="rId31" Target="https://journals.aps.org/pra/abstract/10.1103/PhysRevA.103.062412#:~:text=The%20LINPACK%20benchmark%20reports%20the,We%20propose%20an" TargetMode="External" /><Relationship Type="http://schemas.openxmlformats.org/officeDocument/2006/relationships/hyperlink" Id="rId52" Target="https://journals.aps.org/prl/abstract/10.1103/pg4r-fy8n" TargetMode="External" /><Relationship Type="http://schemas.openxmlformats.org/officeDocument/2006/relationships/hyperlink" Id="rId38" Target="https://journals.aps.org/prl/abstract/10.1103/pg4r-fy8n#:~:text=Holographic%20duality%20describes%20gravitational%20theories,step%20in%20this%20direction%20is" TargetMode="External" /><Relationship Type="http://schemas.openxmlformats.org/officeDocument/2006/relationships/hyperlink" Id="rId50" Target="https://link.springer.com/article/10.1007/s10462-023-10502-7" TargetMode="External" /><Relationship Type="http://schemas.openxmlformats.org/officeDocument/2006/relationships/hyperlink" Id="rId34" Target="https://link.springer.com/article/10.1007/s10462-023-10502-7#:~:text=A%20nonlinear%20activation%20function%20of,nonlinearity%20additionally%20satisfies%20the%20constraint" TargetMode="External" /><Relationship Type="http://schemas.openxmlformats.org/officeDocument/2006/relationships/hyperlink" Id="rId33" Target="https://link.springer.com/article/10.1007/s10462-023-10502-7#:~:text=So%20far%2C%20we%20have%20only,2019" TargetMode="External" /><Relationship Type="http://schemas.openxmlformats.org/officeDocument/2006/relationships/hyperlink" Id="rId48" Target="https://quantum-journal.org/papers/q-2024-01-11-1226/" TargetMode="External" /><Relationship Type="http://schemas.openxmlformats.org/officeDocument/2006/relationships/hyperlink" Id="rId29" Target="https://quantum-journal.org/papers/q-2024-01-11-1226/#:~:text=The%20cost%20of%20data%20input,give%20examples%20of%20applying%20our" TargetMode="External" /><Relationship Type="http://schemas.openxmlformats.org/officeDocument/2006/relationships/hyperlink" Id="rId46" Target="https://songxichen.com/Uploads/Files/Publication/Zhang-Chen-CMR_01_2021.pdf" TargetMode="External" /><Relationship Type="http://schemas.openxmlformats.org/officeDocument/2006/relationships/hyperlink" Id="rId26" Target="https://songxichen.com/Uploads/Files/Publication/Zhang-Chen-CMR_01_2021.pdf#:~:text=phrase%20transition%20point%2C%20and%20reflect,kAkp%E2%86%92q%20%3A%3Dsup%08kAxkq%20%3A%20kxkp%20%E2%89%A41" TargetMode="External" /><Relationship Type="http://schemas.openxmlformats.org/officeDocument/2006/relationships/hyperlink" Id="rId53" Target="https://ww3.math.ucla.edu/camreport/cam18-52.pdf" TargetMode="External" /><Relationship Type="http://schemas.openxmlformats.org/officeDocument/2006/relationships/hyperlink" Id="rId39" Target="https://ww3.math.ucla.edu/camreport/cam18-52.pdf#:~:text=paper%2C%20we%20develop%20the%20theory,Ricci%20curvature%3B%20information%20projection%3B%20Wasserste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2025-08-17T02:56:45Z</dcterms:created>
  <dcterms:modified xsi:type="dcterms:W3CDTF">2025-08-17T02:56:45Z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