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Hypervector Linear Transdimensional Algebra (HTLA)</w:t>
      </w:r>
    </w:p>
    <w:p>
      <w:pPr>
        <w:pStyle w:val="Subtitle"/>
        <w:jc w:val="center"/>
      </w:pPr>
      <w:r>
        <w:t>Labeled Direct-Sum Calculus, Recoverability Contracts, and Quinary Reference Semantics for Project Nexus 4</w:t>
      </w:r>
    </w:p>
    <w:p/>
    <w:p>
      <w:pPr>
        <w:pStyle w:val="SmallNote"/>
        <w:jc w:val="center"/>
      </w:pPr>
      <w:r>
        <w:rPr>
          <w:b/>
        </w:rPr>
        <w:t>Document class:</w:t>
      </w:r>
      <w:r>
        <w:t xml:space="preserve"> Tier-2 subsystem-math source  </w:t>
      </w:r>
    </w:p>
    <w:p>
      <w:pPr>
        <w:pStyle w:val="SmallNote"/>
        <w:jc w:val="center"/>
      </w:pPr>
      <w:r>
        <w:rPr>
          <w:b/>
        </w:rPr>
        <w:t>Corpus role:</w:t>
      </w:r>
      <w:r>
        <w:t xml:space="preserve"> S8 replacement candidate  </w:t>
      </w:r>
    </w:p>
    <w:p>
      <w:pPr>
        <w:pStyle w:val="SmallNote"/>
        <w:jc w:val="center"/>
      </w:pPr>
      <w:r>
        <w:rPr>
          <w:b/>
        </w:rPr>
        <w:t>Reference edition:</w:t>
      </w:r>
      <w:r>
        <w:t xml:space="preserve"> 2026-08-31  </w:t>
      </w:r>
    </w:p>
    <w:p>
      <w:pPr>
        <w:pStyle w:val="SmallNote"/>
        <w:jc w:val="center"/>
      </w:pPr>
      <w:r>
        <w:rPr>
          <w:b/>
        </w:rPr>
        <w:t>Architectural scope:</w:t>
      </w:r>
      <w:r>
        <w:t xml:space="preserve"> Project Nexus 4 / HVD / HTNLA interface  </w:t>
      </w:r>
    </w:p>
    <w:p>
      <w:pPr>
        <w:pStyle w:val="SmallNote"/>
        <w:jc w:val="center"/>
      </w:pPr>
      <w:r>
        <w:rPr>
          <w:b/>
        </w:rPr>
        <w:t>Authority rule:</w:t>
      </w:r>
      <w:r>
        <w:t xml:space="preserve"> This document supplies subsystem mathematics and engineering contracts. It is subordinate to Tier-0 Nexus architecture wherever a conflict exists.</w:t>
      </w:r>
    </w:p>
    <w:p>
      <w:pPr>
        <w:jc w:val="center"/>
      </w:pPr>
      <w:r>
        <w:rPr>
          <w:rFonts w:ascii="Liberation Sans" w:hAnsi="Liberation Sans"/>
          <w:b/>
          <w:color w:val="1F3A5F"/>
          <w:sz w:val="20"/>
        </w:rPr>
        <w:t>NEXUS 4 / S8 REPLACEMENT CANDIDATE</w:t>
      </w:r>
    </w:p>
    <w:p>
      <w:r>
        <w:br w:type="page"/>
      </w:r>
    </w:p>
    <w:p>
      <w:pPr>
        <w:pStyle w:val="Heading1"/>
      </w:pPr>
      <w:r>
        <w:t>Contents</w:t>
      </w:r>
    </w:p>
    <w:p>
      <w:pPr>
        <w:ind w:left="0"/>
      </w:pPr>
      <w:r>
        <w:rPr>
          <w:rFonts w:ascii="Liberation Sans" w:hAnsi="Liberation Sans"/>
          <w:b/>
          <w:sz w:val="20"/>
        </w:rPr>
        <w:t>1. Architectural Role and Scope</w:t>
      </w:r>
    </w:p>
    <w:p>
      <w:pPr>
        <w:ind w:left="0"/>
      </w:pPr>
      <w:r>
        <w:rPr>
          <w:rFonts w:ascii="Liberation Sans" w:hAnsi="Liberation Sans"/>
          <w:b/>
          <w:sz w:val="20"/>
        </w:rPr>
        <w:t>2. Relationship to Prior Art</w:t>
      </w:r>
    </w:p>
    <w:p>
      <w:pPr>
        <w:ind w:left="259"/>
      </w:pPr>
      <w:r>
        <w:rPr>
          <w:rFonts w:ascii="Liberation Sans" w:hAnsi="Liberation Sans"/>
          <w:b w:val="0"/>
          <w:sz w:val="18"/>
        </w:rPr>
        <w:t>2.1 Finite direct sums and block linear algebra</w:t>
      </w:r>
    </w:p>
    <w:p>
      <w:pPr>
        <w:ind w:left="259"/>
      </w:pPr>
      <w:r>
        <w:rPr>
          <w:rFonts w:ascii="Liberation Sans" w:hAnsi="Liberation Sans"/>
          <w:b w:val="0"/>
          <w:sz w:val="18"/>
        </w:rPr>
        <w:t>2.2 Named Tensor Notation and labeled arrays</w:t>
      </w:r>
    </w:p>
    <w:p>
      <w:pPr>
        <w:ind w:left="259"/>
      </w:pPr>
      <w:r>
        <w:rPr>
          <w:rFonts w:ascii="Liberation Sans" w:hAnsi="Liberation Sans"/>
          <w:b w:val="0"/>
          <w:sz w:val="18"/>
        </w:rPr>
        <w:t>2.3 Peirce decomposition and rings with several objects</w:t>
      </w:r>
    </w:p>
    <w:p>
      <w:pPr>
        <w:ind w:left="259"/>
      </w:pPr>
      <w:r>
        <w:rPr>
          <w:rFonts w:ascii="Liberation Sans" w:hAnsi="Liberation Sans"/>
          <w:b w:val="0"/>
          <w:sz w:val="18"/>
        </w:rPr>
        <w:t>2.4 Hyperdimensional computing and vector symbolic architectures</w:t>
      </w:r>
    </w:p>
    <w:p>
      <w:pPr>
        <w:ind w:left="259"/>
      </w:pPr>
      <w:r>
        <w:rPr>
          <w:rFonts w:ascii="Liberation Sans" w:hAnsi="Liberation Sans"/>
          <w:b w:val="0"/>
          <w:sz w:val="18"/>
        </w:rPr>
        <w:t>2.5 What this paper claims as the subsystem contribution</w:t>
      </w:r>
    </w:p>
    <w:p>
      <w:pPr>
        <w:ind w:left="0"/>
      </w:pPr>
      <w:r>
        <w:rPr>
          <w:rFonts w:ascii="Liberation Sans" w:hAnsi="Liberation Sans"/>
          <w:b/>
          <w:sz w:val="20"/>
        </w:rPr>
        <w:t>3. Labeled Direct-Sum State</w:t>
      </w:r>
    </w:p>
    <w:p>
      <w:pPr>
        <w:ind w:left="259"/>
      </w:pPr>
      <w:r>
        <w:rPr>
          <w:rFonts w:ascii="Liberation Sans" w:hAnsi="Liberation Sans"/>
          <w:b w:val="0"/>
          <w:sz w:val="18"/>
        </w:rPr>
        <w:t>3.1 Component schema</w:t>
      </w:r>
    </w:p>
    <w:p>
      <w:pPr>
        <w:ind w:left="259"/>
      </w:pPr>
      <w:r>
        <w:rPr>
          <w:rFonts w:ascii="Liberation Sans" w:hAnsi="Liberation Sans"/>
          <w:b w:val="0"/>
          <w:sz w:val="18"/>
        </w:rPr>
        <w:t>3.2 Ordered labels and flattening</w:t>
      </w:r>
    </w:p>
    <w:p>
      <w:pPr>
        <w:ind w:left="259"/>
      </w:pPr>
      <w:r>
        <w:rPr>
          <w:rFonts w:ascii="Liberation Sans" w:hAnsi="Liberation Sans"/>
          <w:b w:val="0"/>
          <w:sz w:val="18"/>
        </w:rPr>
        <w:t>3.3 Label identity is stronger than dimensional equality</w:t>
      </w:r>
    </w:p>
    <w:p>
      <w:pPr>
        <w:ind w:left="259"/>
      </w:pPr>
      <w:r>
        <w:rPr>
          <w:rFonts w:ascii="Liberation Sans" w:hAnsi="Liberation Sans"/>
          <w:b w:val="0"/>
          <w:sz w:val="18"/>
        </w:rPr>
        <w:t>3.4 Algebraic zero is not epistemic absence</w:t>
      </w:r>
    </w:p>
    <w:p>
      <w:pPr>
        <w:ind w:left="0"/>
      </w:pPr>
      <w:r>
        <w:rPr>
          <w:rFonts w:ascii="Liberation Sans" w:hAnsi="Liberation Sans"/>
          <w:b/>
          <w:sz w:val="20"/>
        </w:rPr>
        <w:t>4. Typed Block Operators</w:t>
      </w:r>
    </w:p>
    <w:p>
      <w:pPr>
        <w:ind w:left="259"/>
      </w:pPr>
      <w:r>
        <w:rPr>
          <w:rFonts w:ascii="Liberation Sans" w:hAnsi="Liberation Sans"/>
          <w:b w:val="0"/>
          <w:sz w:val="18"/>
        </w:rPr>
        <w:t>4.1 Source and target direct sums</w:t>
      </w:r>
    </w:p>
    <w:p>
      <w:pPr>
        <w:ind w:left="259"/>
      </w:pPr>
      <w:r>
        <w:rPr>
          <w:rFonts w:ascii="Liberation Sans" w:hAnsi="Liberation Sans"/>
          <w:b w:val="0"/>
          <w:sz w:val="18"/>
        </w:rPr>
        <w:t>4.2 Dimension change is ordinary rectangular linear algebra</w:t>
      </w:r>
    </w:p>
    <w:p>
      <w:pPr>
        <w:ind w:left="259"/>
      </w:pPr>
      <w:r>
        <w:rPr>
          <w:rFonts w:ascii="Liberation Sans" w:hAnsi="Liberation Sans"/>
          <w:b w:val="0"/>
          <w:sz w:val="18"/>
        </w:rPr>
        <w:t>4.3 Configured zero block versus unresolved relationship</w:t>
      </w:r>
    </w:p>
    <w:p>
      <w:pPr>
        <w:ind w:left="259"/>
      </w:pPr>
      <w:r>
        <w:rPr>
          <w:rFonts w:ascii="Liberation Sans" w:hAnsi="Liberation Sans"/>
          <w:b w:val="0"/>
          <w:sz w:val="18"/>
        </w:rPr>
        <w:t>4.4 Identity operator</w:t>
      </w:r>
    </w:p>
    <w:p>
      <w:pPr>
        <w:ind w:left="259"/>
      </w:pPr>
      <w:r>
        <w:rPr>
          <w:rFonts w:ascii="Liberation Sans" w:hAnsi="Liberation Sans"/>
          <w:b w:val="0"/>
          <w:sz w:val="18"/>
        </w:rPr>
        <w:t>4.5 Composition</w:t>
      </w:r>
    </w:p>
    <w:p>
      <w:pPr>
        <w:ind w:left="259"/>
      </w:pPr>
      <w:r>
        <w:rPr>
          <w:rFonts w:ascii="Liberation Sans" w:hAnsi="Liberation Sans"/>
          <w:b w:val="0"/>
          <w:sz w:val="18"/>
        </w:rPr>
        <w:t>4.6 Peirce decomposition</w:t>
      </w:r>
    </w:p>
    <w:p>
      <w:pPr>
        <w:ind w:left="259"/>
      </w:pPr>
      <w:r>
        <w:rPr>
          <w:rFonts w:ascii="Liberation Sans" w:hAnsi="Liberation Sans"/>
          <w:b w:val="0"/>
          <w:sz w:val="18"/>
        </w:rPr>
        <w:t>4.7 Categorical statement and the historical correction</w:t>
      </w:r>
    </w:p>
    <w:p>
      <w:pPr>
        <w:ind w:left="0"/>
      </w:pPr>
      <w:r>
        <w:rPr>
          <w:rFonts w:ascii="Liberation Sans" w:hAnsi="Liberation Sans"/>
          <w:b/>
          <w:sz w:val="20"/>
        </w:rPr>
        <w:t>5. Label-Aware Bilinear Forms, Kernels, and Similarity</w:t>
      </w:r>
    </w:p>
    <w:p>
      <w:pPr>
        <w:ind w:left="259"/>
      </w:pPr>
      <w:r>
        <w:rPr>
          <w:rFonts w:ascii="Liberation Sans" w:hAnsi="Liberation Sans"/>
          <w:b w:val="0"/>
          <w:sz w:val="18"/>
        </w:rPr>
        <w:t>5.1 Aligned-label weighted form</w:t>
      </w:r>
    </w:p>
    <w:p>
      <w:pPr>
        <w:ind w:left="259"/>
      </w:pPr>
      <w:r>
        <w:rPr>
          <w:rFonts w:ascii="Liberation Sans" w:hAnsi="Liberation Sans"/>
          <w:b w:val="0"/>
          <w:sz w:val="18"/>
        </w:rPr>
        <w:t>5.2 Zero weights produce a seminorm</w:t>
      </w:r>
    </w:p>
    <w:p>
      <w:pPr>
        <w:ind w:left="259"/>
      </w:pPr>
      <w:r>
        <w:rPr>
          <w:rFonts w:ascii="Liberation Sans" w:hAnsi="Liberation Sans"/>
          <w:b w:val="0"/>
          <w:sz w:val="18"/>
        </w:rPr>
        <w:t>5.3 Cross-label compatibility</w:t>
      </w:r>
    </w:p>
    <w:p>
      <w:pPr>
        <w:ind w:left="259"/>
      </w:pPr>
      <w:r>
        <w:rPr>
          <w:rFonts w:ascii="Liberation Sans" w:hAnsi="Liberation Sans"/>
          <w:b w:val="0"/>
          <w:sz w:val="18"/>
        </w:rPr>
        <w:t>5.4 When a cross-label form is actually an inner product</w:t>
      </w:r>
    </w:p>
    <w:p>
      <w:pPr>
        <w:ind w:left="259"/>
      </w:pPr>
      <w:r>
        <w:rPr>
          <w:rFonts w:ascii="Liberation Sans" w:hAnsi="Liberation Sans"/>
          <w:b w:val="0"/>
          <w:sz w:val="18"/>
        </w:rPr>
        <w:t>5.5 Normalized similarity</w:t>
      </w:r>
    </w:p>
    <w:p>
      <w:pPr>
        <w:ind w:left="259"/>
      </w:pPr>
      <w:r>
        <w:rPr>
          <w:rFonts w:ascii="Liberation Sans" w:hAnsi="Liberation Sans"/>
          <w:b w:val="0"/>
          <w:sz w:val="18"/>
        </w:rPr>
        <w:t>5.6 Similarity is derived evidence</w:t>
      </w:r>
    </w:p>
    <w:p>
      <w:pPr>
        <w:ind w:left="0"/>
      </w:pPr>
      <w:r>
        <w:rPr>
          <w:rFonts w:ascii="Liberation Sans" w:hAnsi="Liberation Sans"/>
          <w:b/>
          <w:sz w:val="20"/>
        </w:rPr>
        <w:t>6. Dimension-Changing Morphisms and Recoverability Contracts</w:t>
      </w:r>
    </w:p>
    <w:p>
      <w:pPr>
        <w:ind w:left="259"/>
      </w:pPr>
      <w:r>
        <w:rPr>
          <w:rFonts w:ascii="Liberation Sans" w:hAnsi="Liberation Sans"/>
          <w:b w:val="0"/>
          <w:sz w:val="18"/>
        </w:rPr>
        <w:t>6.1 General linear morphism</w:t>
      </w:r>
    </w:p>
    <w:p>
      <w:pPr>
        <w:ind w:left="259"/>
      </w:pPr>
      <w:r>
        <w:rPr>
          <w:rFonts w:ascii="Liberation Sans" w:hAnsi="Liberation Sans"/>
          <w:b w:val="0"/>
          <w:sz w:val="18"/>
        </w:rPr>
        <w:t>6.2 Moore-Penrose pseudoinverse</w:t>
      </w:r>
    </w:p>
    <w:p>
      <w:pPr>
        <w:ind w:left="259"/>
      </w:pPr>
      <w:r>
        <w:rPr>
          <w:rFonts w:ascii="Liberation Sans" w:hAnsi="Liberation Sans"/>
          <w:b w:val="0"/>
          <w:sz w:val="18"/>
        </w:rPr>
        <w:t>6.3 Tikhonov-regularized inverse map</w:t>
      </w:r>
    </w:p>
    <w:p>
      <w:pPr>
        <w:ind w:left="259"/>
      </w:pPr>
      <w:r>
        <w:rPr>
          <w:rFonts w:ascii="Liberation Sans" w:hAnsi="Liberation Sans"/>
          <w:b w:val="0"/>
          <w:sz w:val="18"/>
        </w:rPr>
        <w:t>6.4 Reconstruction error</w:t>
      </w:r>
    </w:p>
    <w:p>
      <w:pPr>
        <w:ind w:left="259"/>
      </w:pPr>
      <w:r>
        <w:rPr>
          <w:rFonts w:ascii="Liberation Sans" w:hAnsi="Liberation Sans"/>
          <w:b w:val="0"/>
          <w:sz w:val="18"/>
        </w:rPr>
        <w:t>6.5 Johnson-Lindenstrauss embeddings</w:t>
      </w:r>
    </w:p>
    <w:p>
      <w:pPr>
        <w:ind w:left="259"/>
      </w:pPr>
      <w:r>
        <w:rPr>
          <w:rFonts w:ascii="Liberation Sans" w:hAnsi="Liberation Sans"/>
          <w:b w:val="0"/>
          <w:sz w:val="18"/>
        </w:rPr>
        <w:t>6.6 Transform contract</w:t>
      </w:r>
    </w:p>
    <w:p>
      <w:pPr>
        <w:ind w:left="0"/>
      </w:pPr>
      <w:r>
        <w:rPr>
          <w:rFonts w:ascii="Liberation Sans" w:hAnsi="Liberation Sans"/>
          <w:b/>
          <w:sz w:val="20"/>
        </w:rPr>
        <w:t>7. Nexus Quinary Reference Geometry</w:t>
      </w:r>
    </w:p>
    <w:p>
      <w:pPr>
        <w:ind w:left="259"/>
      </w:pPr>
      <w:r>
        <w:rPr>
          <w:rFonts w:ascii="Liberation Sans" w:hAnsi="Liberation Sans"/>
          <w:b w:val="0"/>
          <w:sz w:val="18"/>
        </w:rPr>
        <w:t>7.1 Status of this section</w:t>
      </w:r>
    </w:p>
    <w:p>
      <w:pPr>
        <w:ind w:left="259"/>
      </w:pPr>
      <w:r>
        <w:rPr>
          <w:rFonts w:ascii="Liberation Sans" w:hAnsi="Liberation Sans"/>
          <w:b w:val="0"/>
          <w:sz w:val="18"/>
        </w:rPr>
        <w:t>7.2 Three-plane encoding</w:t>
      </w:r>
    </w:p>
    <w:p>
      <w:pPr>
        <w:ind w:left="259"/>
      </w:pPr>
      <w:r>
        <w:rPr>
          <w:rFonts w:ascii="Liberation Sans" w:hAnsi="Liberation Sans"/>
          <w:b w:val="0"/>
          <w:sz w:val="18"/>
        </w:rPr>
        <w:t>7.3 Reference sparsity wall</w:t>
      </w:r>
    </w:p>
    <w:p>
      <w:pPr>
        <w:ind w:left="259"/>
      </w:pPr>
      <w:r>
        <w:rPr>
          <w:rFonts w:ascii="Liberation Sans" w:hAnsi="Liberation Sans"/>
          <w:b w:val="0"/>
          <w:sz w:val="18"/>
        </w:rPr>
        <w:t>7.4 Reference quinary binding</w:t>
      </w:r>
    </w:p>
    <w:p>
      <w:pPr>
        <w:ind w:left="259"/>
      </w:pPr>
      <w:r>
        <w:rPr>
          <w:rFonts w:ascii="Liberation Sans" w:hAnsi="Liberation Sans"/>
          <w:b w:val="0"/>
          <w:sz w:val="18"/>
        </w:rPr>
        <w:t>7.5 Partial-unbind epistemic states</w:t>
      </w:r>
    </w:p>
    <w:p>
      <w:pPr>
        <w:ind w:left="259"/>
      </w:pPr>
      <w:r>
        <w:rPr>
          <w:rFonts w:ascii="Liberation Sans" w:hAnsi="Liberation Sans"/>
          <w:b w:val="0"/>
          <w:sz w:val="18"/>
        </w:rPr>
        <w:t>7.6 Historical binding formulation</w:t>
      </w:r>
    </w:p>
    <w:p>
      <w:pPr>
        <w:ind w:left="259"/>
      </w:pPr>
      <w:r>
        <w:rPr>
          <w:rFonts w:ascii="Liberation Sans" w:hAnsi="Liberation Sans"/>
          <w:b w:val="0"/>
          <w:sz w:val="18"/>
        </w:rPr>
        <w:t>7.7 Verification scope</w:t>
      </w:r>
    </w:p>
    <w:p>
      <w:pPr>
        <w:ind w:left="0"/>
      </w:pPr>
      <w:r>
        <w:rPr>
          <w:rFonts w:ascii="Liberation Sans" w:hAnsi="Liberation Sans"/>
          <w:b/>
          <w:sz w:val="20"/>
        </w:rPr>
        <w:t>8. Low-Rank Block Compression</w:t>
      </w:r>
    </w:p>
    <w:p>
      <w:pPr>
        <w:ind w:left="259"/>
      </w:pPr>
      <w:r>
        <w:rPr>
          <w:rFonts w:ascii="Liberation Sans" w:hAnsi="Liberation Sans"/>
          <w:b w:val="0"/>
          <w:sz w:val="18"/>
        </w:rPr>
        <w:t>8.1 Independent truncated SVD</w:t>
      </w:r>
    </w:p>
    <w:p>
      <w:pPr>
        <w:ind w:left="259"/>
      </w:pPr>
      <w:r>
        <w:rPr>
          <w:rFonts w:ascii="Liberation Sans" w:hAnsi="Liberation Sans"/>
          <w:b w:val="0"/>
          <w:sz w:val="18"/>
        </w:rPr>
        <w:t>8.2 Global block error identity</w:t>
      </w:r>
    </w:p>
    <w:p>
      <w:pPr>
        <w:ind w:left="259"/>
      </w:pPr>
      <w:r>
        <w:rPr>
          <w:rFonts w:ascii="Liberation Sans" w:hAnsi="Liberation Sans"/>
          <w:b w:val="0"/>
          <w:sz w:val="18"/>
        </w:rPr>
        <w:t>8.3 Propagated state error</w:t>
      </w:r>
    </w:p>
    <w:p>
      <w:pPr>
        <w:ind w:left="259"/>
      </w:pPr>
      <w:r>
        <w:rPr>
          <w:rFonts w:ascii="Liberation Sans" w:hAnsi="Liberation Sans"/>
          <w:b w:val="0"/>
          <w:sz w:val="18"/>
        </w:rPr>
        <w:t>8.4 Storage complexity</w:t>
      </w:r>
    </w:p>
    <w:p>
      <w:pPr>
        <w:ind w:left="259"/>
      </w:pPr>
      <w:r>
        <w:rPr>
          <w:rFonts w:ascii="Liberation Sans" w:hAnsi="Liberation Sans"/>
          <w:b w:val="0"/>
          <w:sz w:val="18"/>
        </w:rPr>
        <w:t>8.5 Semantic reason for blockwise compression</w:t>
      </w:r>
    </w:p>
    <w:p>
      <w:pPr>
        <w:ind w:left="0"/>
      </w:pPr>
      <w:r>
        <w:rPr>
          <w:rFonts w:ascii="Liberation Sans" w:hAnsi="Liberation Sans"/>
          <w:b/>
          <w:sz w:val="20"/>
        </w:rPr>
        <w:t>9. Noise, Concentration, and Probabilistic Claims</w:t>
      </w:r>
    </w:p>
    <w:p>
      <w:pPr>
        <w:ind w:left="259"/>
      </w:pPr>
      <w:r>
        <w:rPr>
          <w:rFonts w:ascii="Liberation Sans" w:hAnsi="Liberation Sans"/>
          <w:b w:val="0"/>
          <w:sz w:val="18"/>
        </w:rPr>
        <w:t>9.1 Why concentration belongs behind explicit assumptions</w:t>
      </w:r>
    </w:p>
    <w:p>
      <w:pPr>
        <w:ind w:left="259"/>
      </w:pPr>
      <w:r>
        <w:rPr>
          <w:rFonts w:ascii="Liberation Sans" w:hAnsi="Liberation Sans"/>
          <w:b w:val="0"/>
          <w:sz w:val="18"/>
        </w:rPr>
        <w:t>9.2 Standard Hanson-Wright form</w:t>
      </w:r>
    </w:p>
    <w:p>
      <w:pPr>
        <w:ind w:left="259"/>
      </w:pPr>
      <w:r>
        <w:rPr>
          <w:rFonts w:ascii="Liberation Sans" w:hAnsi="Liberation Sans"/>
          <w:b w:val="0"/>
          <w:sz w:val="18"/>
        </w:rPr>
        <w:t>9.3 Heavy-tailed extensions</w:t>
      </w:r>
    </w:p>
    <w:p>
      <w:pPr>
        <w:ind w:left="259"/>
      </w:pPr>
      <w:r>
        <w:rPr>
          <w:rFonts w:ascii="Liberation Sans" w:hAnsi="Liberation Sans"/>
          <w:b w:val="0"/>
          <w:sz w:val="18"/>
        </w:rPr>
        <w:t>9.4 Simple Gaussian injection example</w:t>
      </w:r>
    </w:p>
    <w:p>
      <w:pPr>
        <w:ind w:left="0"/>
      </w:pPr>
      <w:r>
        <w:rPr>
          <w:rFonts w:ascii="Liberation Sans" w:hAnsi="Liberation Sans"/>
          <w:b/>
          <w:sz w:val="20"/>
        </w:rPr>
        <w:t>10. HTLA / HTNLA Boundary</w:t>
      </w:r>
    </w:p>
    <w:p>
      <w:pPr>
        <w:ind w:left="259"/>
      </w:pPr>
      <w:r>
        <w:rPr>
          <w:rFonts w:ascii="Liberation Sans" w:hAnsi="Liberation Sans"/>
          <w:b w:val="0"/>
          <w:sz w:val="18"/>
        </w:rPr>
        <w:t>10.1 Nonlinearity and invertibility</w:t>
      </w:r>
    </w:p>
    <w:p>
      <w:pPr>
        <w:ind w:left="259"/>
      </w:pPr>
      <w:r>
        <w:rPr>
          <w:rFonts w:ascii="Liberation Sans" w:hAnsi="Liberation Sans"/>
          <w:b w:val="0"/>
          <w:sz w:val="18"/>
        </w:rPr>
        <w:t>10.2 k-WTA and complexity</w:t>
      </w:r>
    </w:p>
    <w:p>
      <w:pPr>
        <w:ind w:left="0"/>
      </w:pPr>
      <w:r>
        <w:rPr>
          <w:rFonts w:ascii="Liberation Sans" w:hAnsi="Liberation Sans"/>
          <w:b/>
          <w:sz w:val="20"/>
        </w:rPr>
        <w:t>11. Reference Implementation Contract</w:t>
      </w:r>
    </w:p>
    <w:p>
      <w:pPr>
        <w:ind w:left="259"/>
      </w:pPr>
      <w:r>
        <w:rPr>
          <w:rFonts w:ascii="Liberation Sans" w:hAnsi="Liberation Sans"/>
          <w:b w:val="0"/>
          <w:sz w:val="18"/>
        </w:rPr>
        <w:t>11.1 Requirements</w:t>
      </w:r>
    </w:p>
    <w:p>
      <w:pPr>
        <w:ind w:left="259"/>
      </w:pPr>
      <w:r>
        <w:rPr>
          <w:rFonts w:ascii="Liberation Sans" w:hAnsi="Liberation Sans"/>
          <w:b w:val="0"/>
          <w:sz w:val="18"/>
        </w:rPr>
        <w:t>11.2 Corrected numerical example</w:t>
      </w:r>
    </w:p>
    <w:p>
      <w:pPr>
        <w:ind w:left="259"/>
      </w:pPr>
      <w:r>
        <w:rPr>
          <w:rFonts w:ascii="Liberation Sans" w:hAnsi="Liberation Sans"/>
          <w:b w:val="0"/>
          <w:sz w:val="18"/>
        </w:rPr>
        <w:t>11.3 Why a labeled pseudoinverse must reverse direction</w:t>
      </w:r>
    </w:p>
    <w:p>
      <w:pPr>
        <w:ind w:left="259"/>
      </w:pPr>
      <w:r>
        <w:rPr>
          <w:rFonts w:ascii="Liberation Sans" w:hAnsi="Liberation Sans"/>
          <w:b w:val="0"/>
          <w:sz w:val="18"/>
        </w:rPr>
        <w:t>11.4 Executed reference class</w:t>
      </w:r>
    </w:p>
    <w:p>
      <w:pPr>
        <w:ind w:left="259"/>
      </w:pPr>
      <w:r>
        <w:rPr>
          <w:rFonts w:ascii="Liberation Sans" w:hAnsi="Liberation Sans"/>
          <w:b w:val="0"/>
          <w:sz w:val="18"/>
        </w:rPr>
        <w:t>11.5 Verification limits</w:t>
      </w:r>
    </w:p>
    <w:p>
      <w:pPr>
        <w:ind w:left="0"/>
      </w:pPr>
      <w:r>
        <w:rPr>
          <w:rFonts w:ascii="Liberation Sans" w:hAnsi="Liberation Sans"/>
          <w:b/>
          <w:sz w:val="20"/>
        </w:rPr>
        <w:t>12. Complexity and Scalability</w:t>
      </w:r>
    </w:p>
    <w:p>
      <w:pPr>
        <w:ind w:left="259"/>
      </w:pPr>
      <w:r>
        <w:rPr>
          <w:rFonts w:ascii="Liberation Sans" w:hAnsi="Liberation Sans"/>
          <w:b w:val="0"/>
          <w:sz w:val="18"/>
        </w:rPr>
        <w:t>12.1 Dense block cost</w:t>
      </w:r>
    </w:p>
    <w:p>
      <w:pPr>
        <w:ind w:left="259"/>
      </w:pPr>
      <w:r>
        <w:rPr>
          <w:rFonts w:ascii="Liberation Sans" w:hAnsi="Liberation Sans"/>
          <w:b w:val="0"/>
          <w:sz w:val="18"/>
        </w:rPr>
        <w:t>12.2 When label sparsity changes asymptotics</w:t>
      </w:r>
    </w:p>
    <w:p>
      <w:pPr>
        <w:ind w:left="259"/>
      </w:pPr>
      <w:r>
        <w:rPr>
          <w:rFonts w:ascii="Liberation Sans" w:hAnsi="Liberation Sans"/>
          <w:b w:val="0"/>
          <w:sz w:val="18"/>
        </w:rPr>
        <w:t>12.3 The historical \(O(\log|L|)\) claim</w:t>
      </w:r>
    </w:p>
    <w:p>
      <w:pPr>
        <w:ind w:left="259"/>
      </w:pPr>
      <w:r>
        <w:rPr>
          <w:rFonts w:ascii="Liberation Sans" w:hAnsi="Liberation Sans"/>
          <w:b w:val="0"/>
          <w:sz w:val="18"/>
        </w:rPr>
        <w:t>12.4 Falsification protocol</w:t>
      </w:r>
    </w:p>
    <w:p>
      <w:pPr>
        <w:ind w:left="0"/>
      </w:pPr>
      <w:r>
        <w:rPr>
          <w:rFonts w:ascii="Liberation Sans" w:hAnsi="Liberation Sans"/>
          <w:b/>
          <w:sz w:val="20"/>
        </w:rPr>
        <w:t>13. Failure Modes and Adversarial Cases</w:t>
      </w:r>
    </w:p>
    <w:p>
      <w:pPr>
        <w:ind w:left="259"/>
      </w:pPr>
      <w:r>
        <w:rPr>
          <w:rFonts w:ascii="Liberation Sans" w:hAnsi="Liberation Sans"/>
          <w:b w:val="0"/>
          <w:sz w:val="18"/>
        </w:rPr>
        <w:t>13.1 Schema collision</w:t>
      </w:r>
    </w:p>
    <w:p>
      <w:pPr>
        <w:ind w:left="259"/>
      </w:pPr>
      <w:r>
        <w:rPr>
          <w:rFonts w:ascii="Liberation Sans" w:hAnsi="Liberation Sans"/>
          <w:b w:val="0"/>
          <w:sz w:val="18"/>
        </w:rPr>
        <w:t>13.2 Zero/missing collapse</w:t>
      </w:r>
    </w:p>
    <w:p>
      <w:pPr>
        <w:ind w:left="259"/>
      </w:pPr>
      <w:r>
        <w:rPr>
          <w:rFonts w:ascii="Liberation Sans" w:hAnsi="Liberation Sans"/>
          <w:b w:val="0"/>
          <w:sz w:val="18"/>
        </w:rPr>
        <w:t>13.3 Indefinite "similarity" kernel</w:t>
      </w:r>
    </w:p>
    <w:p>
      <w:pPr>
        <w:ind w:left="259"/>
      </w:pPr>
      <w:r>
        <w:rPr>
          <w:rFonts w:ascii="Liberation Sans" w:hAnsi="Liberation Sans"/>
          <w:b w:val="0"/>
          <w:sz w:val="18"/>
        </w:rPr>
        <w:t>13.4 Rank-loss laundering</w:t>
      </w:r>
    </w:p>
    <w:p>
      <w:pPr>
        <w:ind w:left="259"/>
      </w:pPr>
      <w:r>
        <w:rPr>
          <w:rFonts w:ascii="Liberation Sans" w:hAnsi="Liberation Sans"/>
          <w:b w:val="0"/>
          <w:sz w:val="18"/>
        </w:rPr>
        <w:t>13.5 Regularization laundering</w:t>
      </w:r>
    </w:p>
    <w:p>
      <w:pPr>
        <w:ind w:left="259"/>
      </w:pPr>
      <w:r>
        <w:rPr>
          <w:rFonts w:ascii="Liberation Sans" w:hAnsi="Liberation Sans"/>
          <w:b w:val="0"/>
          <w:sz w:val="18"/>
        </w:rPr>
        <w:t>13.6 Derived-index authority escalation</w:t>
      </w:r>
    </w:p>
    <w:p>
      <w:pPr>
        <w:ind w:left="259"/>
      </w:pPr>
      <w:r>
        <w:rPr>
          <w:rFonts w:ascii="Liberation Sans" w:hAnsi="Liberation Sans"/>
          <w:b w:val="0"/>
          <w:sz w:val="18"/>
        </w:rPr>
        <w:t>13.7 Unordered-label nondeterminism</w:t>
      </w:r>
    </w:p>
    <w:p>
      <w:pPr>
        <w:ind w:left="259"/>
      </w:pPr>
      <w:r>
        <w:rPr>
          <w:rFonts w:ascii="Liberation Sans" w:hAnsi="Liberation Sans"/>
          <w:b w:val="0"/>
          <w:sz w:val="18"/>
        </w:rPr>
        <w:t>13.8 Approximation-budget drift</w:t>
      </w:r>
    </w:p>
    <w:p>
      <w:pPr>
        <w:ind w:left="0"/>
      </w:pPr>
      <w:r>
        <w:rPr>
          <w:rFonts w:ascii="Liberation Sans" w:hAnsi="Liberation Sans"/>
          <w:b/>
          <w:sz w:val="20"/>
        </w:rPr>
        <w:t>14. Speculative Extensions</w:t>
      </w:r>
    </w:p>
    <w:p>
      <w:pPr>
        <w:ind w:left="259"/>
      </w:pPr>
      <w:r>
        <w:rPr>
          <w:rFonts w:ascii="Liberation Sans" w:hAnsi="Liberation Sans"/>
          <w:b w:val="0"/>
          <w:sz w:val="18"/>
        </w:rPr>
        <w:t>14.1 Fisher-Rao label geometry</w:t>
      </w:r>
    </w:p>
    <w:p>
      <w:pPr>
        <w:ind w:left="259"/>
      </w:pPr>
      <w:r>
        <w:rPr>
          <w:rFonts w:ascii="Liberation Sans" w:hAnsi="Liberation Sans"/>
          <w:b w:val="0"/>
          <w:sz w:val="18"/>
        </w:rPr>
        <w:t>14.2 Persistent topology</w:t>
      </w:r>
    </w:p>
    <w:p>
      <w:pPr>
        <w:ind w:left="259"/>
      </w:pPr>
      <w:r>
        <w:rPr>
          <w:rFonts w:ascii="Liberation Sans" w:hAnsi="Liberation Sans"/>
          <w:b w:val="0"/>
          <w:sz w:val="18"/>
        </w:rPr>
        <w:t>14.3 Heavy-tail robust solvers</w:t>
      </w:r>
    </w:p>
    <w:p>
      <w:pPr>
        <w:ind w:left="259"/>
      </w:pPr>
      <w:r>
        <w:rPr>
          <w:rFonts w:ascii="Liberation Sans" w:hAnsi="Liberation Sans"/>
          <w:b w:val="0"/>
          <w:sz w:val="18"/>
        </w:rPr>
        <w:t>14.4 Quantum block encoding</w:t>
      </w:r>
    </w:p>
    <w:p>
      <w:pPr>
        <w:ind w:left="259"/>
      </w:pPr>
      <w:r>
        <w:rPr>
          <w:rFonts w:ascii="Liberation Sans" w:hAnsi="Liberation Sans"/>
          <w:b w:val="0"/>
          <w:sz w:val="18"/>
        </w:rPr>
        <w:t>14.5 Gauge-equivariant extensions</w:t>
      </w:r>
    </w:p>
    <w:p>
      <w:pPr>
        <w:ind w:left="259"/>
      </w:pPr>
      <w:r>
        <w:rPr>
          <w:rFonts w:ascii="Liberation Sans" w:hAnsi="Liberation Sans"/>
          <w:b w:val="0"/>
          <w:sz w:val="18"/>
        </w:rPr>
        <w:t>14.6 Neural-ODE extension</w:t>
      </w:r>
    </w:p>
    <w:p>
      <w:pPr>
        <w:ind w:left="259"/>
      </w:pPr>
      <w:r>
        <w:rPr>
          <w:rFonts w:ascii="Liberation Sans" w:hAnsi="Liberation Sans"/>
          <w:b w:val="0"/>
          <w:sz w:val="18"/>
        </w:rPr>
        <w:t>14.7 Emergent-spacetime analogy</w:t>
      </w:r>
    </w:p>
    <w:p>
      <w:pPr>
        <w:ind w:left="0"/>
      </w:pPr>
      <w:r>
        <w:rPr>
          <w:rFonts w:ascii="Liberation Sans" w:hAnsi="Liberation Sans"/>
          <w:b/>
          <w:sz w:val="20"/>
        </w:rPr>
        <w:t>15. Claim-Status Audit</w:t>
      </w:r>
    </w:p>
    <w:p>
      <w:pPr>
        <w:ind w:left="0"/>
      </w:pPr>
      <w:r>
        <w:rPr>
          <w:rFonts w:ascii="Liberation Sans" w:hAnsi="Liberation Sans"/>
          <w:b/>
          <w:sz w:val="20"/>
        </w:rPr>
        <w:t>16. Validation and Falsification Program</w:t>
      </w:r>
    </w:p>
    <w:p>
      <w:pPr>
        <w:ind w:left="259"/>
      </w:pPr>
      <w:r>
        <w:rPr>
          <w:rFonts w:ascii="Liberation Sans" w:hAnsi="Liberation Sans"/>
          <w:b w:val="0"/>
          <w:sz w:val="18"/>
        </w:rPr>
        <w:t>16.1 Schema invariants</w:t>
      </w:r>
    </w:p>
    <w:p>
      <w:pPr>
        <w:ind w:left="259"/>
      </w:pPr>
      <w:r>
        <w:rPr>
          <w:rFonts w:ascii="Liberation Sans" w:hAnsi="Liberation Sans"/>
          <w:b w:val="0"/>
          <w:sz w:val="18"/>
        </w:rPr>
        <w:t>16.2 Algebraic properties</w:t>
      </w:r>
    </w:p>
    <w:p>
      <w:pPr>
        <w:ind w:left="259"/>
      </w:pPr>
      <w:r>
        <w:rPr>
          <w:rFonts w:ascii="Liberation Sans" w:hAnsi="Liberation Sans"/>
          <w:b w:val="0"/>
          <w:sz w:val="18"/>
        </w:rPr>
        <w:t>16.3 Similarity tests</w:t>
      </w:r>
    </w:p>
    <w:p>
      <w:pPr>
        <w:ind w:left="259"/>
      </w:pPr>
      <w:r>
        <w:rPr>
          <w:rFonts w:ascii="Liberation Sans" w:hAnsi="Liberation Sans"/>
          <w:b w:val="0"/>
          <w:sz w:val="18"/>
        </w:rPr>
        <w:t>16.4 Transform tests</w:t>
      </w:r>
    </w:p>
    <w:p>
      <w:pPr>
        <w:ind w:left="259"/>
      </w:pPr>
      <w:r>
        <w:rPr>
          <w:rFonts w:ascii="Liberation Sans" w:hAnsi="Liberation Sans"/>
          <w:b w:val="0"/>
          <w:sz w:val="18"/>
        </w:rPr>
        <w:t>16.5 Quinary representation tests</w:t>
      </w:r>
    </w:p>
    <w:p>
      <w:pPr>
        <w:ind w:left="259"/>
      </w:pPr>
      <w:r>
        <w:rPr>
          <w:rFonts w:ascii="Liberation Sans" w:hAnsi="Liberation Sans"/>
          <w:b w:val="0"/>
          <w:sz w:val="18"/>
        </w:rPr>
        <w:t>16.6 Approximation tests</w:t>
      </w:r>
    </w:p>
    <w:p>
      <w:pPr>
        <w:ind w:left="259"/>
      </w:pPr>
      <w:r>
        <w:rPr>
          <w:rFonts w:ascii="Liberation Sans" w:hAnsi="Liberation Sans"/>
          <w:b w:val="0"/>
          <w:sz w:val="18"/>
        </w:rPr>
        <w:t>16.7 Implementation regression for inverse direction</w:t>
      </w:r>
    </w:p>
    <w:p>
      <w:pPr>
        <w:ind w:left="259"/>
      </w:pPr>
      <w:r>
        <w:rPr>
          <w:rFonts w:ascii="Liberation Sans" w:hAnsi="Liberation Sans"/>
          <w:b w:val="0"/>
          <w:sz w:val="18"/>
        </w:rPr>
        <w:t>16.8 Complexity falsification</w:t>
      </w:r>
    </w:p>
    <w:p>
      <w:pPr>
        <w:ind w:left="0"/>
      </w:pPr>
      <w:r>
        <w:rPr>
          <w:rFonts w:ascii="Liberation Sans" w:hAnsi="Liberation Sans"/>
          <w:b/>
          <w:sz w:val="20"/>
        </w:rPr>
        <w:t>17. Canonical Engineering Laws for HTLA</w:t>
      </w:r>
    </w:p>
    <w:p>
      <w:pPr>
        <w:ind w:left="0"/>
      </w:pPr>
      <w:r>
        <w:rPr>
          <w:rFonts w:ascii="Liberation Sans" w:hAnsi="Liberation Sans"/>
          <w:b/>
          <w:sz w:val="20"/>
        </w:rPr>
        <w:t>18. Conclusion</w:t>
      </w:r>
    </w:p>
    <w:p>
      <w:pPr>
        <w:ind w:left="0"/>
      </w:pPr>
      <w:r>
        <w:rPr>
          <w:rFonts w:ascii="Liberation Sans" w:hAnsi="Liberation Sans"/>
          <w:b/>
          <w:sz w:val="20"/>
        </w:rPr>
        <w:t>References</w:t>
      </w:r>
    </w:p>
    <w:p>
      <w:pPr>
        <w:ind w:left="0"/>
      </w:pPr>
      <w:r>
        <w:rPr>
          <w:rFonts w:ascii="Liberation Sans" w:hAnsi="Liberation Sans"/>
          <w:b/>
          <w:sz w:val="20"/>
        </w:rPr>
        <w:t>Appendix A. ASCII Formula Reference</w:t>
      </w:r>
    </w:p>
    <w:p>
      <w:pPr>
        <w:ind w:left="0"/>
      </w:pPr>
      <w:r>
        <w:rPr>
          <w:rFonts w:ascii="Liberation Sans" w:hAnsi="Liberation Sans"/>
          <w:b/>
          <w:sz w:val="20"/>
        </w:rPr>
        <w:t>Appendix B. Minimal Implementation Checklist</w:t>
      </w:r>
    </w:p>
    <w:p>
      <w:r>
        <w:br w:type="page"/>
      </w:r>
    </w:p>
    <w:p>
      <w:pPr>
        <w:pStyle w:val="Heading2"/>
      </w:pPr>
      <w:r>
        <w:t>Abstract</w:t>
      </w:r>
    </w:p>
    <w:p>
      <w:r>
        <w:t>Hypervector Linear Transdimensional Algebra (HTLA) is the labeled-state linear calculus used by Project Nexus 4 to represent and transform heterogeneous finite-dimensional state without erasing the semantic boundaries between its components. Its core state object is a finite external direct sum</w:t>
      </w:r>
    </w:p>
    <w:p>
      <w:pPr>
        <w:pStyle w:val="Equation"/>
        <w:jc w:val="center"/>
      </w:pPr>
      <w:r>
        <w:t>\mathcal H_L=\bigoplus_{\ell\in L}\mathbb R^{n_\ell},</w:t>
      </w:r>
    </w:p>
    <w:p>
      <w:r>
        <w:t>where each label \(\ell\) identifies a component space with its own dimension and interpretation. Linear transformations between labeled direct sums are represented as typed block operators. Their endomorphism structure admits a Peirce decomposition induced by the canonical component projections; equivalently, the label-indexed hom-spaces form a finite real-linear preadditive category, a special case of the "ring with several objects" viewpoint.</w:t>
      </w:r>
    </w:p>
    <w:p>
      <w:r>
        <w:t>The mathematical ingredients used by HTLA—finite direct sums, block matrices, bilinear forms, singular-value decomposition, regularized inverse maps, Johnson-Lindenstrauss embeddings, and concentration inequalities—are established mathematics. HTLA does not claim otherwise. Its system-level contribution is the disciplined assembly of those tools into a labeled mathematical ABI for Nexus, together with explicit semantic typing, typed missingness, transformation provenance, recoverability contracts, and compatibility with the deterministic quinary reference geometry used by the current Nexus v4 demonstrator.</w:t>
      </w:r>
    </w:p>
    <w:p>
      <w:r>
        <w:t>That reference geometry uses the alphabet</w:t>
      </w:r>
    </w:p>
    <w:p>
      <w:pPr>
        <w:pStyle w:val="Equation"/>
        <w:jc w:val="center"/>
      </w:pPr>
      <w:r>
        <w:t>\mathcal Q=\{-2,-1,0,+1,+2\}</w:t>
      </w:r>
    </w:p>
    <w:p>
      <w:r>
        <w:t xml:space="preserve">on \(d=1024\) coordinates, represented by sign and magnitude bit planes with structural invariants, a reference occupancy wall \(K_{\mathrm{wall}}=307\), and an intentionally information-losing binding operation. Partial recovery is therefore not represented as an unqualified inverse. A coordinate-level recovery attempt terminates as </w:t>
      </w:r>
      <w:r>
        <w:rPr>
          <w:rFonts w:ascii="DejaVu Sans Mono" w:hAnsi="DejaVu Sans Mono"/>
          <w:sz w:val="18"/>
        </w:rPr>
        <w:t>EXACT</w:t>
      </w:r>
      <w:r>
        <w:t xml:space="preserve">, </w:t>
      </w:r>
      <w:r>
        <w:rPr>
          <w:rFonts w:ascii="DejaVu Sans Mono" w:hAnsi="DejaVu Sans Mono"/>
          <w:sz w:val="18"/>
        </w:rPr>
        <w:t>AMBIGUOUS</w:t>
      </w:r>
      <w:r>
        <w:t xml:space="preserve">, </w:t>
      </w:r>
      <w:r>
        <w:rPr>
          <w:rFonts w:ascii="DejaVu Sans Mono" w:hAnsi="DejaVu Sans Mono"/>
          <w:sz w:val="18"/>
        </w:rPr>
        <w:t>UNKNOWN</w:t>
      </w:r>
      <w:r>
        <w:t xml:space="preserve">, or </w:t>
      </w:r>
      <w:r>
        <w:rPr>
          <w:rFonts w:ascii="DejaVu Sans Mono" w:hAnsi="DejaVu Sans Mono"/>
          <w:sz w:val="18"/>
        </w:rPr>
        <w:t>IMPOSSIBLE</w:t>
      </w:r>
      <w:r>
        <w:t>.</w:t>
      </w:r>
    </w:p>
    <w:p>
      <w:r>
        <w:t>This paper corrects several historical HTLA claims that do not survive mathematical or executable scrutiny. In particular, it retires the description of the block structure as a generic graded algebra without a grading law; removes a backwards "faithful but not full" categorical claim; distinguishes inner products from semidefinite or directed compatibility scores; replaces an incorrect numerical worked example with executed values; repairs the source/target variance of the labeled pseudoinverse implementation; scopes Johnson-Lindenstrauss results to finite-set distortion rather than lossless dimensional conversion; restores the linear-in-\(t\) operator-norm branch of the Hanson-Wright inequality; and treats logarithmic gradient complexity, quantum acceleration, persistent topology, Fisher-Rao geometry, gauge-equivariant extensions, Neural-ODE variants, and spacetime analogies as research hypotheses unless separately established.</w:t>
      </w:r>
    </w:p>
    <w:p>
      <w:r>
        <w:t>The result is a conservative subsystem specification: mathematically ordinary where the mathematics is ordinary, explicit about what Nexus adds at the software and epistemic layers, and falsifiable wherever implementation or performance claims extend beyond standard theory.</w:t>
      </w:r>
    </w:p>
    <w:p>
      <w:pPr>
        <w:pStyle w:val="Heading2"/>
      </w:pPr>
      <w:r>
        <w:t>Claim-status vocabulary</w:t>
      </w:r>
    </w:p>
    <w:p>
      <w:r>
        <w:t>This document uses the project-wide vocabulary exactly as defined by the Nexus corpus:</w:t>
      </w:r>
    </w:p>
    <w:p>
      <w:r>
        <w:rPr>
          <w:rFonts w:ascii="DejaVu Sans Mono" w:hAnsi="DejaVu Sans Mono"/>
          <w:sz w:val="18"/>
        </w:rPr>
        <w:t>CANONICAL</w:t>
      </w:r>
      <w:r>
        <w:t xml:space="preserve">, </w:t>
      </w:r>
      <w:r>
        <w:rPr>
          <w:rFonts w:ascii="DejaVu Sans Mono" w:hAnsi="DejaVu Sans Mono"/>
          <w:sz w:val="18"/>
        </w:rPr>
        <w:t>IMPLEMENTED</w:t>
      </w:r>
      <w:r>
        <w:t xml:space="preserve">, </w:t>
      </w:r>
      <w:r>
        <w:rPr>
          <w:rFonts w:ascii="DejaVu Sans Mono" w:hAnsi="DejaVu Sans Mono"/>
          <w:sz w:val="18"/>
        </w:rPr>
        <w:t>VERIFIED</w:t>
      </w:r>
      <w:r>
        <w:t xml:space="preserve">, </w:t>
      </w:r>
      <w:r>
        <w:rPr>
          <w:rFonts w:ascii="DejaVu Sans Mono" w:hAnsi="DejaVu Sans Mono"/>
          <w:sz w:val="18"/>
        </w:rPr>
        <w:t>PARTIALLY IMPLEMENTED</w:t>
      </w:r>
      <w:r>
        <w:t xml:space="preserve">, </w:t>
      </w:r>
      <w:r>
        <w:rPr>
          <w:rFonts w:ascii="DejaVu Sans Mono" w:hAnsi="DejaVu Sans Mono"/>
          <w:sz w:val="18"/>
        </w:rPr>
        <w:t>ACTIVE DEVELOPMENT</w:t>
      </w:r>
      <w:r>
        <w:t xml:space="preserve">, </w:t>
      </w:r>
      <w:r>
        <w:rPr>
          <w:rFonts w:ascii="DejaVu Sans Mono" w:hAnsi="DejaVu Sans Mono"/>
          <w:sz w:val="18"/>
        </w:rPr>
        <w:t>PROPOSED</w:t>
      </w:r>
      <w:r>
        <w:t xml:space="preserve">, </w:t>
      </w:r>
      <w:r>
        <w:rPr>
          <w:rFonts w:ascii="DejaVu Sans Mono" w:hAnsi="DejaVu Sans Mono"/>
          <w:sz w:val="18"/>
        </w:rPr>
        <w:t>DESIGN TARGET</w:t>
      </w:r>
      <w:r>
        <w:t xml:space="preserve">, </w:t>
      </w:r>
      <w:r>
        <w:rPr>
          <w:rFonts w:ascii="DejaVu Sans Mono" w:hAnsi="DejaVu Sans Mono"/>
          <w:sz w:val="18"/>
        </w:rPr>
        <w:t>EXPERIMENTAL</w:t>
      </w:r>
      <w:r>
        <w:t xml:space="preserve">, </w:t>
      </w:r>
      <w:r>
        <w:rPr>
          <w:rFonts w:ascii="DejaVu Sans Mono" w:hAnsi="DejaVu Sans Mono"/>
          <w:sz w:val="18"/>
        </w:rPr>
        <w:t>RESEARCH HYPOTHESIS</w:t>
      </w:r>
      <w:r>
        <w:t xml:space="preserve">, </w:t>
      </w:r>
      <w:r>
        <w:rPr>
          <w:rFonts w:ascii="DejaVu Sans Mono" w:hAnsi="DejaVu Sans Mono"/>
          <w:sz w:val="18"/>
        </w:rPr>
        <w:t>APPLICATION-SPECIFIC</w:t>
      </w:r>
      <w:r>
        <w:t xml:space="preserve">, </w:t>
      </w:r>
      <w:r>
        <w:rPr>
          <w:rFonts w:ascii="DejaVu Sans Mono" w:hAnsi="DejaVu Sans Mono"/>
          <w:sz w:val="18"/>
        </w:rPr>
        <w:t>HISTORICAL/SUPERSEDED</w:t>
      </w:r>
      <w:r>
        <w:t xml:space="preserve">, </w:t>
      </w:r>
      <w:r>
        <w:rPr>
          <w:rFonts w:ascii="DejaVu Sans Mono" w:hAnsi="DejaVu Sans Mono"/>
          <w:sz w:val="18"/>
        </w:rPr>
        <w:t>INFERRED</w:t>
      </w:r>
      <w:r>
        <w:t>.</w:t>
      </w:r>
    </w:p>
    <w:p>
      <w:r>
        <w:t xml:space="preserve">A Tier-2 paper does not promote its own local claims into Tier-0 canon. </w:t>
      </w:r>
      <w:r>
        <w:rPr>
          <w:rFonts w:ascii="DejaVu Sans Mono" w:hAnsi="DejaVu Sans Mono"/>
          <w:sz w:val="18"/>
        </w:rPr>
        <w:t>CANONICAL</w:t>
      </w:r>
      <w:r>
        <w:t xml:space="preserve"> is used here only for contracts already established by the higher-tier Nexus architecture. </w:t>
      </w:r>
      <w:r>
        <w:rPr>
          <w:rFonts w:ascii="DejaVu Sans Mono" w:hAnsi="DejaVu Sans Mono"/>
          <w:sz w:val="18"/>
        </w:rPr>
        <w:t>VERIFIED</w:t>
      </w:r>
      <w:r>
        <w:t xml:space="preserve"> is reserved for standard mathematical results, direct proofs, or specific executed artifacts identified in this paper.</w:t>
      </w:r>
    </w:p>
    <w:p>
      <w:pPr>
        <w:pStyle w:val="Heading1"/>
      </w:pPr>
      <w:r>
        <w:t>1. Architectural Role and Scope</w:t>
      </w:r>
    </w:p>
    <w:p>
      <w:r>
        <w:t xml:space="preserve">HTLA is the stable </w:t>
      </w:r>
      <w:r>
        <w:rPr>
          <w:b/>
        </w:rPr>
        <w:t>linear mathematical ABI</w:t>
      </w:r>
      <w:r>
        <w:t xml:space="preserve"> between heterogeneous Nexus state and the operators that act on that state.</w:t>
      </w:r>
    </w:p>
    <w:p>
      <w:r>
        <w:t>Within the current Nexus decomposition, HTLA does not own cognition, constitutional admissibility, temporal evolution, substrate realization, durable persistence, or identity. Those responsibilities belong to other layers. HTLA instead answers a narrower family of questions:</w:t>
      </w:r>
    </w:p>
    <w:p>
      <w:pPr>
        <w:pStyle w:val="ListNumber"/>
      </w:pPr>
      <w:r>
        <w:t>How can one logical state contain components of different dimensions without pretending they share one undifferentiated coordinate system?</w:t>
      </w:r>
    </w:p>
    <w:p>
      <w:pPr>
        <w:pStyle w:val="ListNumber"/>
      </w:pPr>
      <w:r>
        <w:t>How are linear mappings between those components typed and composed?</w:t>
      </w:r>
    </w:p>
    <w:p>
      <w:pPr>
        <w:pStyle w:val="ListNumber"/>
      </w:pPr>
      <w:r>
        <w:t>How are cross-label similarities or compatibilities defined without silently inventing semantic equivalence?</w:t>
      </w:r>
    </w:p>
    <w:p>
      <w:pPr>
        <w:pStyle w:val="ListNumber"/>
      </w:pPr>
      <w:r>
        <w:t>How are dimension-changing transformations represented when they are approximate or information-losing?</w:t>
      </w:r>
    </w:p>
    <w:p>
      <w:pPr>
        <w:pStyle w:val="ListNumber"/>
      </w:pPr>
      <w:r>
        <w:t>How is approximation error retained as an explicit contract?</w:t>
      </w:r>
    </w:p>
    <w:p>
      <w:pPr>
        <w:pStyle w:val="ListNumber"/>
      </w:pPr>
      <w:r>
        <w:t>How does the linear layer interface with the current quinary reference geometry?</w:t>
      </w:r>
    </w:p>
    <w:p>
      <w:pPr>
        <w:pStyle w:val="ListNumber"/>
      </w:pPr>
      <w:r>
        <w:t>Where does linear HTLA stop and nonlinear HTNLA begin?</w:t>
      </w:r>
    </w:p>
    <w:p>
      <w:r>
        <w:t>Conceptually:</w:t>
      </w:r>
    </w:p>
    <w:p>
      <w:pPr>
        <w:pStyle w:val="CodeBlock"/>
        <w:shd w:fill="F3F6F8"/>
        <w:pBdr>
          <w:left w:val="single" w:sz="12" w:space="5" w:color="6C8EAD"/>
        </w:pBdr>
      </w:pPr>
      <w:r>
        <w:t>heterogeneous labeled state</w:t>
        <w:br/>
        <w:t xml:space="preserve">          |</w:t>
        <w:br/>
        <w:t xml:space="preserve">          v</w:t>
        <w:br/>
        <w:t xml:space="preserve">        HTLA</w:t>
        <w:br/>
        <w:t xml:space="preserve">  direct sums + typed</w:t>
        <w:br/>
        <w:t xml:space="preserve">   block linear maps</w:t>
        <w:br/>
        <w:t xml:space="preserve">          |</w:t>
        <w:br/>
        <w:t xml:space="preserve">          +------&gt; similarity / compatibility</w:t>
        <w:br/>
        <w:t xml:space="preserve">          |</w:t>
        <w:br/>
        <w:t xml:space="preserve">          +------&gt; dimension-changing morphisms</w:t>
        <w:br/>
        <w:t xml:space="preserve">          |</w:t>
        <w:br/>
        <w:t xml:space="preserve">          +------&gt; low-rank approximation</w:t>
        <w:br/>
        <w:t xml:space="preserve">          |</w:t>
        <w:br/>
        <w:t xml:space="preserve">          +------&gt; recoverability metadata</w:t>
        <w:br/>
        <w:t xml:space="preserve">          |</w:t>
        <w:br/>
        <w:t xml:space="preserve">          v</w:t>
        <w:br/>
        <w:t xml:space="preserve">        HTNLA</w:t>
        <w:br/>
        <w:t xml:space="preserve"> nonlinearities / competition /</w:t>
        <w:br/>
        <w:t xml:space="preserve"> nonlinear associative transforms</w:t>
      </w:r>
    </w:p>
    <w:p>
      <w:r>
        <w:t xml:space="preserve">The phrase </w:t>
      </w:r>
      <w:r>
        <w:rPr>
          <w:b/>
        </w:rPr>
        <w:t>mathematical ABI</w:t>
      </w:r>
      <w:r>
        <w:t xml:space="preserve"> is intentional but limited. HTLA is not itself a binary file format. It is a stable semantic interface: a consumer should be able to determine the labels, component dimensions, permitted mappings, transformation provenance, approximation assumptions, and recoverability semantics even if the physical representation changes.</w:t>
      </w:r>
    </w:p>
    <w:p>
      <w:r>
        <w:t>Accordingly:</w:t>
      </w:r>
    </w:p>
    <w:p>
      <w:pPr>
        <w:pStyle w:val="CodeBlock"/>
        <w:shd w:fill="F3F6F8"/>
        <w:pBdr>
          <w:left w:val="single" w:sz="12" w:space="5" w:color="6C8EAD"/>
        </w:pBdr>
      </w:pPr>
      <w:r>
        <w:t>HTLA semantics != physical storage encoding</w:t>
        <w:br/>
        <w:t>HTLA label     != memory address</w:t>
        <w:br/>
        <w:t>HTLA similarity != identity</w:t>
        <w:br/>
        <w:t>HTLA similarity != truth</w:t>
        <w:br/>
        <w:t>HTLA reconstruction != proof of continuity</w:t>
      </w:r>
    </w:p>
    <w:p>
      <w:r>
        <w:t>TMS may move or reorganize the physical realization of state while preserving the HTLA contract. ANN/HNSW may accelerate retrieval over derived embeddings, but approximate-nearest-neighbor rank does not become an HTLA truth condition.</w:t>
      </w:r>
    </w:p>
    <w:p>
      <w:pPr>
        <w:pStyle w:val="Heading1"/>
      </w:pPr>
      <w:r>
        <w:t>2. Relationship to Prior Art</w:t>
      </w:r>
    </w:p>
    <w:p>
      <w:pPr>
        <w:pStyle w:val="Heading2"/>
      </w:pPr>
      <w:r>
        <w:t>2.1 Finite direct sums and block linear algebra</w:t>
      </w:r>
    </w:p>
    <w:p>
      <w:r>
        <w:t>The state space</w:t>
      </w:r>
    </w:p>
    <w:p>
      <w:pPr>
        <w:pStyle w:val="Equation"/>
        <w:jc w:val="center"/>
      </w:pPr>
      <w:r>
        <w:t>\bigoplus_{\ell\in L}\mathbb R^{n_\ell}</w:t>
      </w:r>
    </w:p>
    <w:p>
      <w:r>
        <w:t>and the corresponding block representation of linear maps are standard finite-dimensional linear algebra. HTLA does not introduce direct sums or block matrices.</w:t>
      </w:r>
    </w:p>
    <w:p>
      <w:r>
        <w:t>The relevant design decision is to preserve the decomposition as part of the software-visible semantic contract rather than flatten it away and reconstruct its meaning from undocumented offsets.</w:t>
      </w:r>
    </w:p>
    <w:p>
      <w:r>
        <w:t>Because \(L\) is finite,</w:t>
      </w:r>
    </w:p>
    <w:p>
      <w:pPr>
        <w:pStyle w:val="Equation"/>
        <w:jc w:val="center"/>
      </w:pPr>
      <w:r>
        <w:t>\bigoplus_{\ell\in L}\mathbb R^{n_\ell} \cong \prod_{\ell\in L}\mathbb R^{n_\ell} \cong \mathbb R^N, \qquad N=\sum_{\ell\in L}n_\ell,</w:t>
      </w:r>
    </w:p>
    <w:p>
      <w:r>
        <w:t>after an ordering of labels is chosen.</w:t>
      </w:r>
    </w:p>
    <w:p>
      <w:r>
        <w:t xml:space="preserve">Therefore HTLA does </w:t>
      </w:r>
      <w:r>
        <w:rPr>
          <w:b/>
        </w:rPr>
        <w:t>not</w:t>
      </w:r>
      <w:r>
        <w:t xml:space="preserve"> depend on the false proposition that heterogeneous state cannot be flattened. It depends on the stronger engineering requirement that flattening must not erase the component schema.</w:t>
      </w:r>
    </w:p>
    <w:p>
      <w:pPr>
        <w:pStyle w:val="CodeBlock"/>
        <w:shd w:fill="F3F6F8"/>
        <w:pBdr>
          <w:left w:val="single" w:sz="12" w:space="5" w:color="6C8EAD"/>
        </w:pBdr>
      </w:pPr>
      <w:r>
        <w:t>flattenable != semantically interchangeable</w:t>
      </w:r>
    </w:p>
    <w:p>
      <w:pPr>
        <w:pStyle w:val="Heading2"/>
      </w:pPr>
      <w:r>
        <w:t>2.2 Named Tensor Notation and labeled arrays</w:t>
      </w:r>
    </w:p>
    <w:p>
      <w:r>
        <w:t>Named Tensor Notation, introduced by Chiang, Rush, and Barak, attaches names to tensor axes so that operations can refer to semantic axes rather than absolute positions. That work is close prior art for the principle that shape metadata changes the meaning and safety of numerical operations.</w:t>
      </w:r>
    </w:p>
    <w:p>
      <w:r>
        <w:t>HTLA makes a different primary modeling choice: its top-level object is a direct sum of independently typed component spaces, and its linear morphisms are source-label-to-target-label blocks. Named tensors can encode or emulate such layouts by convention, so this distinction should not be overstated as an impossibility result. The defensible difference is that direct-sum component identity, block coupling, typed missingness, and the Nexus recoverability contract are intrinsic to HTLA's subsystem interface rather than being conventions layered on ordinary tensor axes.</w:t>
      </w:r>
    </w:p>
    <w:p>
      <w:r>
        <w:t>Scientific-array libraries such as xarray and unit-aware systems such as Pint are useful engineering analogies for the same reason: labels and metadata constrain meaningful operations. They are not the mathematical foundation of HTLA.</w:t>
      </w:r>
    </w:p>
    <w:p>
      <w:pPr>
        <w:pStyle w:val="Heading2"/>
      </w:pPr>
      <w:r>
        <w:t>2.3 Peirce decomposition and rings with several objects</w:t>
      </w:r>
    </w:p>
    <w:p>
      <w:r>
        <w:t>The historical HTLA description of its label-block structure as a generic "graded \(\mathbb R\)-algebra" is retired. A grading in the usual algebraic sense requires a degree structure and a compatible multiplication law. A bare semantic label set supplies neither.</w:t>
      </w:r>
    </w:p>
    <w:p>
      <w:r>
        <w:t>The appropriate structure arises from the canonical label projections. Let</w:t>
      </w:r>
    </w:p>
    <w:p>
      <w:pPr>
        <w:pStyle w:val="Equation"/>
        <w:jc w:val="center"/>
      </w:pPr>
      <w:r>
        <w:t>e_\ell:\mathcal H\to\mathcal H</w:t>
      </w:r>
    </w:p>
    <w:p>
      <w:r>
        <w:t>project onto component \(\ell\) and include the result back into \(\mathcal H\). These satisfy</w:t>
      </w:r>
    </w:p>
    <w:p>
      <w:pPr>
        <w:pStyle w:val="Equation"/>
        <w:jc w:val="center"/>
      </w:pPr>
      <w:r>
        <w:t>e_\ell^2=e_\ell, \qquad e_\ell e_m=0 \quad (\ell\neq m), \qquad \sum_{\ell\in L}e_\ell=I.</w:t>
      </w:r>
    </w:p>
    <w:p>
      <w:r>
        <w:t>The endomorphism ring then decomposes into corners</w:t>
      </w:r>
    </w:p>
    <w:p>
      <w:pPr>
        <w:pStyle w:val="Equation"/>
        <w:jc w:val="center"/>
      </w:pPr>
      <w:r>
        <w:t>\operatorname{End}(\mathcal H) = \bigoplus_{t,s\in L} e_t\operatorname{End}(\mathcal H)e_s.</w:t>
      </w:r>
    </w:p>
    <w:p>
      <w:r>
        <w:t>This is the Peirce decomposition associated with the complete orthogonal idempotent family.</w:t>
      </w:r>
    </w:p>
    <w:p>
      <w:r>
        <w:t>Equivalently, the labels may be treated as objects of a finite real-linear preadditive category with</w:t>
      </w:r>
    </w:p>
    <w:p>
      <w:pPr>
        <w:pStyle w:val="Equation"/>
        <w:jc w:val="center"/>
      </w:pPr>
      <w:r>
        <w:t>\operatorname{Hom}(s,t) = \operatorname{Lin}(\mathbb R^{n_s},\mathbb R^{n_t}) \cong \mathbb R^{n_t\times n_s}.</w:t>
      </w:r>
    </w:p>
    <w:p>
      <w:r>
        <w:t>This is the structure Barry Mitchell described in the "ring with several objects" framework. HTLA specializes that established structure to Nexus labeled state; it does not claim to originate it.</w:t>
      </w:r>
    </w:p>
    <w:p>
      <w:pPr>
        <w:pStyle w:val="Heading2"/>
      </w:pPr>
      <w:r>
        <w:t>2.4 Hyperdimensional computing and vector symbolic architectures</w:t>
      </w:r>
    </w:p>
    <w:p>
      <w:r>
        <w:t>Hyperdimensional Computing (HDC) and Vector Symbolic Architectures (VSA) provide the broad prior-art context for high-dimensional symbolic representation, binding, bundling, similarity retrieval, and approximate unbinding. Kanerva's HDC work, Plate's Holographic Reduced Representations, and later comparative VSA literature all establish that high-dimensional binding schemes differ in their algebraic properties and that unbinding can be approximate or non-self-inverse.</w:t>
      </w:r>
    </w:p>
    <w:p>
      <w:r>
        <w:t xml:space="preserve">The current Nexus contribution is therefore not the discovery that binding can lose information. It is the software and epistemic decision to </w:t>
      </w:r>
      <w:r>
        <w:rPr>
          <w:b/>
        </w:rPr>
        <w:t>surface the degree of recoverability explicitly</w:t>
      </w:r>
      <w:r>
        <w:t xml:space="preserve"> rather than return a numerically plausible vector and let downstream code mistake approximation for knowledge.</w:t>
      </w:r>
    </w:p>
    <w:p>
      <w:r>
        <w:t>The current quinary reference contract reports:</w:t>
      </w:r>
    </w:p>
    <w:p>
      <w:pPr>
        <w:pStyle w:val="CodeBlock"/>
        <w:shd w:fill="F3F6F8"/>
        <w:pBdr>
          <w:left w:val="single" w:sz="12" w:space="5" w:color="6C8EAD"/>
        </w:pBdr>
      </w:pPr>
      <w:r>
        <w:t>EXACT</w:t>
        <w:br/>
        <w:t>AMBIGUOUS</w:t>
        <w:br/>
        <w:t>UNKNOWN</w:t>
        <w:br/>
        <w:t>IMPOSSIBLE</w:t>
      </w:r>
    </w:p>
    <w:p>
      <w:r>
        <w:t>for partial recovery. That status layer is Nexus-specific application semantics over a broader VSA/HDC context.</w:t>
      </w:r>
    </w:p>
    <w:p>
      <w:pPr>
        <w:pStyle w:val="Heading2"/>
      </w:pPr>
      <w:r>
        <w:t>2.5 What this paper claims as the subsystem contribution</w:t>
      </w:r>
    </w:p>
    <w:p>
      <w:r>
        <w:t>The defensible contribution is the assembly:</w:t>
      </w:r>
    </w:p>
    <w:p>
      <w:pPr>
        <w:pStyle w:val="ListBullet"/>
      </w:pPr>
      <w:r>
        <w:t>finite labeled direct-sum state as the stable Nexus linear ABI;</w:t>
      </w:r>
    </w:p>
    <w:p>
      <w:pPr>
        <w:pStyle w:val="ListBullet"/>
      </w:pPr>
      <w:r>
        <w:t>typed source/target block mappings;</w:t>
      </w:r>
    </w:p>
    <w:p>
      <w:pPr>
        <w:pStyle w:val="ListBullet"/>
      </w:pPr>
      <w:r>
        <w:t>explicit semantic coupling rather than accidental flattening;</w:t>
      </w:r>
    </w:p>
    <w:p>
      <w:pPr>
        <w:pStyle w:val="ListBullet"/>
      </w:pPr>
      <w:r>
        <w:t>typed distinction between zero and missing/unavailable state;</w:t>
      </w:r>
    </w:p>
    <w:p>
      <w:pPr>
        <w:pStyle w:val="ListBullet"/>
      </w:pPr>
      <w:r>
        <w:t>explicit transform provenance and distortion contracts;</w:t>
      </w:r>
    </w:p>
    <w:p>
      <w:pPr>
        <w:pStyle w:val="ListBullet"/>
      </w:pPr>
      <w:r>
        <w:t>a deterministic quinary reference representation;</w:t>
      </w:r>
    </w:p>
    <w:p>
      <w:pPr>
        <w:pStyle w:val="ListBullet"/>
      </w:pPr>
      <w:r>
        <w:t>coordinate-level partial-unbind epistemic states;</w:t>
      </w:r>
    </w:p>
    <w:p>
      <w:pPr>
        <w:pStyle w:val="ListBullet"/>
      </w:pPr>
      <w:r>
        <w:t>executable reference behavior and falsification-oriented tests.</w:t>
      </w:r>
    </w:p>
    <w:p>
      <w:r>
        <w:t>No claim is made that direct sums, block matrices, SVD, random projections, pseudoinverses, Peirce decompositions, or concentration inequalities are individually new.</w:t>
      </w:r>
    </w:p>
    <w:p>
      <w:pPr>
        <w:pStyle w:val="Heading1"/>
      </w:pPr>
      <w:r>
        <w:t>3. Labeled Direct-Sum State</w:t>
      </w:r>
    </w:p>
    <w:p>
      <w:pPr>
        <w:pStyle w:val="Heading2"/>
      </w:pPr>
      <w:r>
        <w:t>3.1 Component schema</w:t>
      </w:r>
    </w:p>
    <w:p>
      <w:r>
        <w:t>Let \(L\) be a finite ordered set of semantic labels. For each label \(\ell\in L\), define a component space</w:t>
      </w:r>
    </w:p>
    <w:p>
      <w:pPr>
        <w:pStyle w:val="Equation"/>
        <w:jc w:val="center"/>
      </w:pPr>
      <w:r>
        <w:t>V_\ell=\mathbb R^{n_\ell}, \qquad n_\ell\in\mathbb N.</w:t>
      </w:r>
    </w:p>
    <w:p>
      <w:r>
        <w:t>The HTLA state space is</w:t>
      </w:r>
    </w:p>
    <w:p>
      <w:pPr>
        <w:pStyle w:val="Equation"/>
        <w:jc w:val="center"/>
      </w:pPr>
      <w:r>
        <w:t>\boxed{ \mathcal H_L = \bigoplus_{\ell\in L}V_\ell = \bigoplus_{\ell\in L}\mathbb R^{n_\ell} }.</w:t>
      </w:r>
    </w:p>
    <w:p>
      <w:r>
        <w:t>An element is</w:t>
      </w:r>
    </w:p>
    <w:p>
      <w:pPr>
        <w:pStyle w:val="Equation"/>
        <w:jc w:val="center"/>
      </w:pPr>
      <w:r>
        <w:t>H=(H_\ell)_{\ell\in L}, \qquad H_\ell\in V_\ell.</w:t>
      </w:r>
    </w:p>
    <w:p>
      <w:r>
        <w:t>A Nexus record may therefore contain, for example,</w:t>
      </w:r>
    </w:p>
    <w:p>
      <w:pPr>
        <w:pStyle w:val="CodeBlock"/>
        <w:shd w:fill="F3F6F8"/>
        <w:pBdr>
          <w:left w:val="single" w:sz="12" w:space="5" w:color="6C8EAD"/>
        </w:pBdr>
      </w:pPr>
      <w:r>
        <w:t>spectral_state        : R^4096</w:t>
        <w:br/>
        <w:t>identity_state        : R^1024</w:t>
        <w:br/>
        <w:t>homeostatic_state     : R^11</w:t>
        <w:br/>
        <w:t>control_state         : R^6</w:t>
        <w:br/>
        <w:t>resource_state        : R^32</w:t>
      </w:r>
    </w:p>
    <w:p>
      <w:r>
        <w:t>without implying that those coordinates share the same physical unit, semantic basis, normalization, or interpretation.</w:t>
      </w:r>
    </w:p>
    <w:p>
      <w:pPr>
        <w:pStyle w:val="Heading2"/>
      </w:pPr>
      <w:r>
        <w:t>3.2 Ordered labels and flattening</w:t>
      </w:r>
    </w:p>
    <w:p>
      <w:r>
        <w:t>For execution it is often useful to flatten the direct sum. Given an explicit label order</w:t>
      </w:r>
    </w:p>
    <w:p>
      <w:pPr>
        <w:pStyle w:val="Equation"/>
        <w:jc w:val="center"/>
      </w:pPr>
      <w:r>
        <w:t>L=(\ell_1,\ldots,\ell_m),</w:t>
      </w:r>
    </w:p>
    <w:p>
      <w:r>
        <w:t>define</w:t>
      </w:r>
    </w:p>
    <w:p>
      <w:pPr>
        <w:pStyle w:val="Equation"/>
        <w:jc w:val="center"/>
      </w:pPr>
      <w:r>
        <w:t>\operatorname{flat}_L(H) = \begin{bmatrix} H_{\ell_1}\\ \vdots\\ H_{\ell_m} \end{bmatrix} \in \mathbb R^N, \qquad N=\sum_{j=1}^m n_{\ell_j}.</w:t>
      </w:r>
    </w:p>
    <w:p>
      <w:r>
        <w:t>The inverse operation requires the same ordered schema.</w:t>
      </w:r>
    </w:p>
    <w:p>
      <w:r>
        <w:t>The ordering is not cosmetic. It participates in the serialization and slicing ABI. Two implementations that iterate an unordered set of labels can construct different physical layouts from the same mathematical labels.</w:t>
      </w:r>
    </w:p>
    <w:p>
      <w:r>
        <w:t>Therefore a conforming implementation must preserve:</w:t>
      </w:r>
    </w:p>
    <w:p>
      <w:pPr>
        <w:pStyle w:val="CodeBlock"/>
        <w:shd w:fill="F3F6F8"/>
        <w:pBdr>
          <w:left w:val="single" w:sz="12" w:space="5" w:color="6C8EAD"/>
        </w:pBdr>
      </w:pPr>
      <w:r>
        <w:t>ordered label sequence</w:t>
        <w:br/>
        <w:t>per-label dimension</w:t>
        <w:br/>
        <w:t>schema/version identifier</w:t>
        <w:br/>
        <w:t>offset map or reconstructible ordering rule</w:t>
      </w:r>
    </w:p>
    <w:p>
      <w:r>
        <w:t>Sets may be used to test membership or equality. They must not determine positional block layout.</w:t>
      </w:r>
    </w:p>
    <w:p>
      <w:pPr>
        <w:pStyle w:val="Heading2"/>
      </w:pPr>
      <w:r>
        <w:t>3.3 Label identity is stronger than dimensional equality</w:t>
      </w:r>
    </w:p>
    <w:p>
      <w:r>
        <w:t>Two labels may have equal dimensions without being semantically compatible:</w:t>
      </w:r>
    </w:p>
    <w:p>
      <w:pPr>
        <w:pStyle w:val="Equation"/>
        <w:jc w:val="center"/>
      </w:pPr>
      <w:r>
        <w:t>V_a\cong\mathbb R^{1024}, \qquad V_b\cong\mathbb R^{1024}.</w:t>
      </w:r>
    </w:p>
    <w:p>
      <w:r>
        <w:t>Equal dimensions merely make many matrices shape-compatible. They do not authorize the substitution</w:t>
      </w:r>
    </w:p>
    <w:p>
      <w:pPr>
        <w:pStyle w:val="Equation"/>
        <w:jc w:val="center"/>
      </w:pPr>
      <w:r>
        <w:t>H_a \equiv H_b.</w:t>
      </w:r>
    </w:p>
    <w:p>
      <w:r>
        <w:t>A practical component contract may include:</w:t>
      </w:r>
    </w:p>
    <w:p>
      <w:pPr>
        <w:pStyle w:val="CodeBlock"/>
        <w:shd w:fill="F3F6F8"/>
        <w:pBdr>
          <w:left w:val="single" w:sz="12" w:space="5" w:color="6C8EAD"/>
        </w:pBdr>
      </w:pPr>
      <w:r>
        <w:t>label</w:t>
        <w:br/>
        <w:t>dimension</w:t>
        <w:br/>
        <w:t>scalar/encoding type</w:t>
        <w:br/>
        <w:t>coordinate semantics</w:t>
        <w:br/>
        <w:t>units or normalization</w:t>
        <w:br/>
        <w:t>schema version</w:t>
        <w:br/>
        <w:t>allowed transforms</w:t>
        <w:br/>
        <w:t>provenance policy</w:t>
        <w:br/>
        <w:t>missingness/validity contract</w:t>
      </w:r>
    </w:p>
    <w:p>
      <w:r>
        <w:t>Hence:</w:t>
      </w:r>
    </w:p>
    <w:p>
      <w:pPr>
        <w:pStyle w:val="CodeBlock"/>
        <w:shd w:fill="F3F6F8"/>
        <w:pBdr>
          <w:left w:val="single" w:sz="12" w:space="5" w:color="6C8EAD"/>
        </w:pBdr>
      </w:pPr>
      <w:r>
        <w:t>equal dimension != equal meaning</w:t>
      </w:r>
    </w:p>
    <w:p>
      <w:pPr>
        <w:pStyle w:val="Heading2"/>
      </w:pPr>
      <w:r>
        <w:t>3.4 Algebraic zero is not epistemic absence</w:t>
      </w:r>
    </w:p>
    <w:p>
      <w:r>
        <w:t>The zero vector</w:t>
      </w:r>
    </w:p>
    <w:p>
      <w:pPr>
        <w:pStyle w:val="Equation"/>
        <w:jc w:val="center"/>
      </w:pPr>
      <w:r>
        <w:t>0_\ell\in V_\ell</w:t>
      </w:r>
    </w:p>
    <w:p>
      <w:r>
        <w:t>is an ordinary mathematical value.</w:t>
      </w:r>
    </w:p>
    <w:p>
      <w:r>
        <w:t>It must not be overloaded to mean:</w:t>
      </w:r>
    </w:p>
    <w:p>
      <w:pPr>
        <w:pStyle w:val="CodeBlock"/>
        <w:shd w:fill="F3F6F8"/>
        <w:pBdr>
          <w:left w:val="single" w:sz="12" w:space="5" w:color="6C8EAD"/>
        </w:pBdr>
      </w:pPr>
      <w:r>
        <w:t>UNAVAILABLE</w:t>
        <w:br/>
        <w:t>UNKNOWN</w:t>
        <w:br/>
        <w:t>UNOBSERVED</w:t>
        <w:br/>
        <w:t>SENSOR_FAILURE</w:t>
        <w:br/>
        <w:t>NOT_APPLICABLE</w:t>
        <w:br/>
        <w:t>MISSING</w:t>
      </w:r>
    </w:p>
    <w:p>
      <w:r>
        <w:t>If a sensor fails, a state component is not permitted to become the zero vector merely because a dense numerical kernel needs a number. A computation may use a masked numerical surrogate internally, but the epistemic state must remain attached.</w:t>
      </w:r>
    </w:p>
    <w:p>
      <w:r>
        <w:t>This principle is load-bearing because a zero often carries domain meaning. In a security profile, for example:</w:t>
      </w:r>
    </w:p>
    <w:p>
      <w:pPr>
        <w:pStyle w:val="CodeBlock"/>
        <w:shd w:fill="F3F6F8"/>
        <w:pBdr>
          <w:left w:val="single" w:sz="12" w:space="5" w:color="6C8EAD"/>
        </w:pBdr>
      </w:pPr>
      <w:r>
        <w:t>weak_credentials = 0</w:t>
      </w:r>
    </w:p>
    <w:p>
      <w:r>
        <w:t>means something fundamentally different from:</w:t>
      </w:r>
    </w:p>
    <w:p>
      <w:pPr>
        <w:pStyle w:val="CodeBlock"/>
        <w:shd w:fill="F3F6F8"/>
        <w:pBdr>
          <w:left w:val="single" w:sz="12" w:space="5" w:color="6C8EAD"/>
        </w:pBdr>
      </w:pPr>
      <w:r>
        <w:t>weak_credentials = UNAVAILABLE</w:t>
      </w:r>
    </w:p>
    <w:p>
      <w:r>
        <w:t>The first is an observed value. The second is a failure to establish a value.</w:t>
      </w:r>
    </w:p>
    <w:p>
      <w:r>
        <w:t>A conforming HTLA object should therefore pair value state with validity state whenever missingness is possible.</w:t>
      </w:r>
    </w:p>
    <w:p>
      <w:pPr>
        <w:pStyle w:val="Heading1"/>
      </w:pPr>
      <w:r>
        <w:t>4. Typed Block Operators</w:t>
      </w:r>
    </w:p>
    <w:p>
      <w:pPr>
        <w:pStyle w:val="Heading2"/>
      </w:pPr>
      <w:r>
        <w:t>4.1 Source and target direct sums</w:t>
      </w:r>
    </w:p>
    <w:p>
      <w:r>
        <w:t>Let \(S\) and \(T\) be finite ordered source and target label sets. Define</w:t>
      </w:r>
    </w:p>
    <w:p>
      <w:pPr>
        <w:pStyle w:val="Equation"/>
        <w:jc w:val="center"/>
      </w:pPr>
      <w:r>
        <w:t>\mathcal H_S = \bigoplus_{s\in S}\mathbb R^{p_s}, \qquad \mathcal H_T = \bigoplus_{t\in T}\mathbb R^{q_t}.</w:t>
      </w:r>
    </w:p>
    <w:p>
      <w:r>
        <w:t>An HTLA linear map</w:t>
      </w:r>
    </w:p>
    <w:p>
      <w:pPr>
        <w:pStyle w:val="Equation"/>
        <w:jc w:val="center"/>
      </w:pPr>
      <w:r>
        <w:t>\mathcal L: \mathcal H_S \rightarrow \mathcal H_T</w:t>
      </w:r>
    </w:p>
    <w:p>
      <w:r>
        <w:t>is a block family</w:t>
      </w:r>
    </w:p>
    <w:p>
      <w:pPr>
        <w:pStyle w:val="Equation"/>
        <w:jc w:val="center"/>
      </w:pPr>
      <w:r>
        <w:t>\mathcal L = [L_{t,s}]_{t\in T,\;s\in S}, \qquad L_{t,s}\in \mathbb R^{q_t\times p_s}.</w:t>
      </w:r>
    </w:p>
    <w:p>
      <w:r>
        <w:t>For input</w:t>
      </w:r>
    </w:p>
    <w:p>
      <w:pPr>
        <w:pStyle w:val="Equation"/>
        <w:jc w:val="center"/>
      </w:pPr>
      <w:r>
        <w:t>x=(x_s)_{s\in S},</w:t>
      </w:r>
    </w:p>
    <w:p>
      <w:r>
        <w:t>the target component is</w:t>
      </w:r>
    </w:p>
    <w:p>
      <w:pPr>
        <w:pStyle w:val="Equation"/>
        <w:jc w:val="center"/>
      </w:pPr>
      <w:r>
        <w:t>y_t = \sum_{s\in S}L_{t,s}x_s.</w:t>
      </w:r>
    </w:p>
    <w:p>
      <w:r>
        <w:t>Every term belongs to \(\mathbb R^{q_t}\), so the component sum is well typed.</w:t>
      </w:r>
    </w:p>
    <w:p>
      <w:pPr>
        <w:pStyle w:val="Heading2"/>
      </w:pPr>
      <w:r>
        <w:t>4.2 Dimension change is ordinary rectangular linear algebra</w:t>
      </w:r>
    </w:p>
    <w:p>
      <w:r>
        <w:t>A block</w:t>
      </w:r>
    </w:p>
    <w:p>
      <w:pPr>
        <w:pStyle w:val="Equation"/>
        <w:jc w:val="center"/>
      </w:pPr>
      <w:r>
        <w:t>L_{t,s}:\mathbb R^{p_s}\rightarrow\mathbb R^{q_t}</w:t>
      </w:r>
    </w:p>
    <w:p>
      <w:r>
        <w:t>may be square, tall, or wide. "Transdimensional" here means that a declared source component and target component can have different dimensions.</w:t>
      </w:r>
    </w:p>
    <w:p>
      <w:r>
        <w:t>It does not imply that dimension change is invertible, lossless, or mathematically exotic.</w:t>
      </w:r>
    </w:p>
    <w:p>
      <w:r>
        <w:t>Depending on rank, a block may be:</w:t>
      </w:r>
    </w:p>
    <w:p>
      <w:pPr>
        <w:pStyle w:val="CodeBlock"/>
        <w:shd w:fill="F3F6F8"/>
        <w:pBdr>
          <w:left w:val="single" w:sz="12" w:space="5" w:color="6C8EAD"/>
        </w:pBdr>
      </w:pPr>
      <w:r>
        <w:t>injective</w:t>
        <w:br/>
        <w:t>surjective</w:t>
        <w:br/>
        <w:t>bijective</w:t>
        <w:br/>
        <w:t>rank-deficient</w:t>
        <w:br/>
        <w:t>ill-conditioned</w:t>
        <w:br/>
        <w:t>approximately reconstructible</w:t>
        <w:br/>
        <w:t>irreversibly information-losing</w:t>
      </w:r>
    </w:p>
    <w:p>
      <w:r>
        <w:t>Those properties must be established from the actual block and its domain assumptions.</w:t>
      </w:r>
    </w:p>
    <w:p>
      <w:pPr>
        <w:pStyle w:val="Heading2"/>
      </w:pPr>
      <w:r>
        <w:t>4.3 Configured zero block versus unresolved relationship</w:t>
      </w:r>
    </w:p>
    <w:p>
      <w:r>
        <w:t>If the subsystem defines that source \(s\) has no linear influence on target \(t\), then</w:t>
      </w:r>
    </w:p>
    <w:p>
      <w:pPr>
        <w:pStyle w:val="Equation"/>
        <w:jc w:val="center"/>
      </w:pPr>
      <w:r>
        <w:t>L_{t,s}=0</w:t>
      </w:r>
    </w:p>
    <w:p>
      <w:r>
        <w:t>is a meaningful configured statement.</w:t>
      </w:r>
    </w:p>
    <w:p>
      <w:r>
        <w:t>It means:</w:t>
      </w:r>
    </w:p>
    <w:p>
      <w:pPr>
        <w:ind w:left="432" w:right="288"/>
        <w:shd w:fill="EEF3F7"/>
        <w:pBdr>
          <w:left w:val="single" w:sz="12" w:space="5" w:color="6C8EAD"/>
        </w:pBdr>
      </w:pPr>
      <w:r>
        <w:t>this operator contains no linear coupling from \(s\) to \(t\).</w:t>
      </w:r>
    </w:p>
    <w:p>
      <w:r>
        <w:t xml:space="preserve">It does </w:t>
      </w:r>
      <w:r>
        <w:rPr>
          <w:b/>
        </w:rPr>
        <w:t>not</w:t>
      </w:r>
      <w:r>
        <w:t xml:space="preserve"> mean:</w:t>
      </w:r>
    </w:p>
    <w:p>
      <w:pPr>
        <w:ind w:left="432" w:right="288"/>
        <w:shd w:fill="EEF3F7"/>
        <w:pBdr>
          <w:left w:val="single" w:sz="12" w:space="5" w:color="6C8EAD"/>
        </w:pBdr>
      </w:pPr>
      <w:r>
        <w:t>a coupling probably exists but has not yet been learned or observed.</w:t>
      </w:r>
    </w:p>
    <w:p>
      <w:r>
        <w:t>Unknown coupling must be represented separately.</w:t>
      </w:r>
    </w:p>
    <w:p>
      <w:r>
        <w:t>This distinction prevents model incompleteness from being silently turned into a strong negative claim.</w:t>
      </w:r>
    </w:p>
    <w:p>
      <w:r>
        <w:t>A sparse coupling pattern can be represented by a directed graph</w:t>
      </w:r>
    </w:p>
    <w:p>
      <w:pPr>
        <w:pStyle w:val="Equation"/>
        <w:jc w:val="center"/>
      </w:pPr>
      <w:r>
        <w:t>G\subseteq S\times T</w:t>
      </w:r>
    </w:p>
    <w:p>
      <w:r>
        <w:t>where</w:t>
      </w:r>
    </w:p>
    <w:p>
      <w:pPr>
        <w:pStyle w:val="Equation"/>
        <w:jc w:val="center"/>
      </w:pPr>
      <w:r>
        <w:t>(t,s)\notin G \quad\Rightarrow\quad L_{t,s}=0.</w:t>
      </w:r>
    </w:p>
    <w:p>
      <w:r>
        <w:t>If the graph itself is part of the declared operator contract, structural block sparsity is semantically meaningful rather than merely a storage optimization.</w:t>
      </w:r>
    </w:p>
    <w:p>
      <w:pPr>
        <w:pStyle w:val="Heading2"/>
      </w:pPr>
      <w:r>
        <w:t>4.4 Identity operator</w:t>
      </w:r>
    </w:p>
    <w:p>
      <w:r>
        <w:t>For a fixed schema \(L\), the identity operator is block diagonal:</w:t>
      </w:r>
    </w:p>
    <w:p>
      <w:pPr>
        <w:pStyle w:val="Equation"/>
        <w:jc w:val="center"/>
      </w:pPr>
      <w:r>
        <w:t>(\mathcal I_L)_{\ell,m} = \begin{cases} I_{n_\ell}, &amp; \ell=m,\\ 0, &amp; \ell\neq m. \end{cases}</w:t>
      </w:r>
    </w:p>
    <w:p>
      <w:r>
        <w:t>Then</w:t>
      </w:r>
    </w:p>
    <w:p>
      <w:pPr>
        <w:pStyle w:val="Equation"/>
        <w:jc w:val="center"/>
      </w:pPr>
      <w:r>
        <w:t>\mathcal I_L H=H.</w:t>
      </w:r>
    </w:p>
    <w:p>
      <w:pPr>
        <w:pStyle w:val="Heading2"/>
      </w:pPr>
      <w:r>
        <w:t>4.5 Composition</w:t>
      </w:r>
    </w:p>
    <w:p>
      <w:r>
        <w:t>Suppose</w:t>
      </w:r>
    </w:p>
    <w:p>
      <w:pPr>
        <w:pStyle w:val="Equation"/>
        <w:jc w:val="center"/>
      </w:pPr>
      <w:r>
        <w:t>\mathcal M: \bigoplus_{s\in S}\mathbb R^{p_s} \rightarrow \bigoplus_{u\in U}\mathbb R^{r_u}</w:t>
      </w:r>
    </w:p>
    <w:p>
      <w:r>
        <w:t>and</w:t>
      </w:r>
    </w:p>
    <w:p>
      <w:pPr>
        <w:pStyle w:val="Equation"/>
        <w:jc w:val="center"/>
      </w:pPr>
      <w:r>
        <w:t>\mathcal L: \bigoplus_{u\in U}\mathbb R^{r_u} \rightarrow \bigoplus_{t\in T}\mathbb R^{q_t}.</w:t>
      </w:r>
    </w:p>
    <w:p>
      <w:r>
        <w:t>Then</w:t>
      </w:r>
    </w:p>
    <w:p>
      <w:pPr>
        <w:pStyle w:val="Equation"/>
        <w:jc w:val="center"/>
      </w:pPr>
      <w:r>
        <w:t>(\mathcal L\circ\mathcal M)_{t,s} = \sum_{u\in U} L_{t,u}M_{u,s}.</w:t>
      </w:r>
    </w:p>
    <w:p>
      <w:r>
        <w:t>Each product has shape</w:t>
      </w:r>
    </w:p>
    <w:p>
      <w:pPr>
        <w:pStyle w:val="Equation"/>
        <w:jc w:val="center"/>
      </w:pPr>
      <w:r>
        <w:t>(q_t\times r_u)(r_u\times p_s) = q_t\times p_s.</w:t>
      </w:r>
    </w:p>
    <w:p>
      <w:r>
        <w:t>The intermediate label \(u\) is therefore a typed contraction index.</w:t>
      </w:r>
    </w:p>
    <w:p>
      <w:r>
        <w:t>Ordinary matrix multiplication already checks dimensions. HTLA adds the requirement that the semantic source/target labels also match the declared composition.</w:t>
      </w:r>
    </w:p>
    <w:p>
      <w:pPr>
        <w:pStyle w:val="Heading2"/>
      </w:pPr>
      <w:r>
        <w:t>4.6 Peirce decomposition</w:t>
      </w:r>
    </w:p>
    <w:p>
      <w:r>
        <w:t>For \(\mathcal H=\bigoplus_{\ell\in L}V_\ell\), let \(e_\ell\) be the canonical projection/inclusion idempotent. Then</w:t>
      </w:r>
    </w:p>
    <w:p>
      <w:pPr>
        <w:pStyle w:val="Equation"/>
        <w:jc w:val="center"/>
      </w:pPr>
      <w:r>
        <w:t>e_\ell^2=e_\ell, \qquad e_\ell e_m=0 \;(\ell\neq m), \qquad \sum_{\ell}e_\ell=I.</w:t>
      </w:r>
    </w:p>
    <w:p>
      <w:r>
        <w:t>For any \(A\in\operatorname{End}(\mathcal H)\),</w:t>
      </w:r>
    </w:p>
    <w:p>
      <w:pPr>
        <w:pStyle w:val="Equation"/>
        <w:jc w:val="center"/>
      </w:pPr>
      <w:r>
        <w:t>A = \left(\sum_t e_t\right) A \left(\sum_s e_s\right) = \sum_{t,s}e_tAe_s.</w:t>
      </w:r>
    </w:p>
    <w:p>
      <w:r>
        <w:t>Because the label set is finite and these matrix corners occupy independent component slots,</w:t>
      </w:r>
    </w:p>
    <w:p>
      <w:pPr>
        <w:pStyle w:val="Equation"/>
        <w:jc w:val="center"/>
      </w:pPr>
      <w:r>
        <w:t>\boxed{ \operatorname{End}(\mathcal H) = \bigoplus_{t,s} e_t\operatorname{End}(\mathcal H)e_s }.</w:t>
      </w:r>
    </w:p>
    <w:p>
      <w:r>
        <w:t>The corner</w:t>
      </w:r>
    </w:p>
    <w:p>
      <w:pPr>
        <w:pStyle w:val="Equation"/>
        <w:jc w:val="center"/>
      </w:pPr>
      <w:r>
        <w:t>e_t\operatorname{End}(\mathcal H)e_s</w:t>
      </w:r>
    </w:p>
    <w:p>
      <w:r>
        <w:t>is naturally identified with</w:t>
      </w:r>
    </w:p>
    <w:p>
      <w:pPr>
        <w:pStyle w:val="Equation"/>
        <w:jc w:val="center"/>
      </w:pPr>
      <w:r>
        <w:t>\operatorname{Hom}(V_s,V_t).</w:t>
      </w:r>
    </w:p>
    <w:p>
      <w:r>
        <w:t>This gives the correct algebraic interpretation of the block family without inventing a grading operation on labels.</w:t>
      </w:r>
    </w:p>
    <w:p>
      <w:pPr>
        <w:pStyle w:val="Heading2"/>
      </w:pPr>
      <w:r>
        <w:t>4.7 Categorical statement and the historical correction</w:t>
      </w:r>
    </w:p>
    <w:p>
      <w:r>
        <w:t>Let \(\mathcal C_L\) have labels as objects and</w:t>
      </w:r>
    </w:p>
    <w:p>
      <w:pPr>
        <w:pStyle w:val="Equation"/>
        <w:jc w:val="center"/>
      </w:pPr>
      <w:r>
        <w:t>\operatorname{Hom}_{\mathcal C_L}(s,t) = \operatorname{Lin}(V_s,V_t).</w:t>
      </w:r>
    </w:p>
    <w:p>
      <w:r>
        <w:t>Each hom-set is a real vector space, and composition is bilinear. Therefore \(\mathcal C_L\) is a finite real-linear preadditive category.</w:t>
      </w:r>
    </w:p>
    <w:p>
      <w:r>
        <w:t>The historical standalone HTLA paper also asserted a flattening functor that was "faithful but not full" while simultaneously defining the labeled hom-set as all linear maps between the flattened spaces. Under those definitions the induced hom-set map is already surjective as well as injective: it is full and faithful.</w:t>
      </w:r>
    </w:p>
    <w:p>
      <w:r>
        <w:t xml:space="preserve">That historical claim is therefore </w:t>
      </w:r>
      <w:r>
        <w:rPr>
          <w:rFonts w:ascii="DejaVu Sans Mono" w:hAnsi="DejaVu Sans Mono"/>
          <w:sz w:val="18"/>
        </w:rPr>
        <w:t>HISTORICAL/SUPERSEDED</w:t>
      </w:r>
      <w:r>
        <w:t>.</w:t>
      </w:r>
    </w:p>
    <w:p>
      <w:r>
        <w:t>A genuinely non-full embedding can be constructed only after restricting admissible morphisms—for example, by enforcing a coupling graph or other semantic constraint. HTLA does not require such a theorem for its core calculus.</w:t>
      </w:r>
    </w:p>
    <w:p>
      <w:pPr>
        <w:pStyle w:val="Heading1"/>
      </w:pPr>
      <w:r>
        <w:t>5. Label-Aware Bilinear Forms, Kernels, and Similarity</w:t>
      </w:r>
    </w:p>
    <w:p>
      <w:pPr>
        <w:pStyle w:val="Heading2"/>
      </w:pPr>
      <w:r>
        <w:t>5.1 Aligned-label weighted form</w:t>
      </w:r>
    </w:p>
    <w:p>
      <w:r>
        <w:t>For compatible states \(H,K\in\mathcal H_L\), define</w:t>
      </w:r>
    </w:p>
    <w:p>
      <w:pPr>
        <w:pStyle w:val="Equation"/>
        <w:jc w:val="center"/>
      </w:pPr>
      <w:r>
        <w:t>B_w(H,K) = \sum_{\ell\in L} w_\ell \langle H_\ell,K_\ell\rangle, \qquad w_\ell\ge 0.</w:t>
      </w:r>
    </w:p>
    <w:p>
      <w:r>
        <w:t>If every weight is strictly positive,</w:t>
      </w:r>
    </w:p>
    <w:p>
      <w:pPr>
        <w:pStyle w:val="Equation"/>
        <w:jc w:val="center"/>
      </w:pPr>
      <w:r>
        <w:t>w_\ell&gt;0 \quad \forall \ell,</w:t>
      </w:r>
    </w:p>
    <w:p>
      <w:r>
        <w:t>then \(B_w\) is an inner product.</w:t>
      </w:r>
    </w:p>
    <w:p>
      <w:r>
        <w:t>Its induced norm is</w:t>
      </w:r>
    </w:p>
    <w:p>
      <w:pPr>
        <w:pStyle w:val="Equation"/>
        <w:jc w:val="center"/>
      </w:pPr>
      <w:r>
        <w:t>\|H\|_w = \sqrt{ \sum_\ell w_\ell\|H_\ell\|_2^2 }.</w:t>
      </w:r>
    </w:p>
    <w:p>
      <w:pPr>
        <w:pStyle w:val="Heading2"/>
      </w:pPr>
      <w:r>
        <w:t>5.2 Zero weights produce a seminorm</w:t>
      </w:r>
    </w:p>
    <w:p>
      <w:r>
        <w:t>If some weight \(w_j=0\), choose nonzero \(H\) supported entirely on component \(j\). Then</w:t>
      </w:r>
    </w:p>
    <w:p>
      <w:pPr>
        <w:pStyle w:val="Equation"/>
        <w:jc w:val="center"/>
      </w:pPr>
      <w:r>
        <w:t>H\neq 0</w:t>
      </w:r>
    </w:p>
    <w:p>
      <w:r>
        <w:t>but</w:t>
      </w:r>
    </w:p>
    <w:p>
      <w:pPr>
        <w:pStyle w:val="Equation"/>
        <w:jc w:val="center"/>
      </w:pPr>
      <w:r>
        <w:t>B_w(H,H)=0.</w:t>
      </w:r>
    </w:p>
    <w:p>
      <w:r>
        <w:t>Therefore the induced quantity is only a seminorm on the complete state space.</w:t>
      </w:r>
    </w:p>
    <w:p>
      <w:r>
        <w:t>This is not pedantry: a zero-weight component has been deliberately made invisible to that geometry.</w:t>
      </w:r>
    </w:p>
    <w:p>
      <w:pPr>
        <w:pStyle w:val="Heading2"/>
      </w:pPr>
      <w:r>
        <w:t>5.3 Cross-label compatibility</w:t>
      </w:r>
    </w:p>
    <w:p>
      <w:r>
        <w:t>Suppose source component \(\ell\) may be compared to target component \(m\) through an explicit mapping</w:t>
      </w:r>
    </w:p>
    <w:p>
      <w:pPr>
        <w:pStyle w:val="Equation"/>
        <w:jc w:val="center"/>
      </w:pPr>
      <w:r>
        <w:t>P_{\ell\rightarrow m}: V_\ell\rightarrow V_m.</w:t>
      </w:r>
    </w:p>
    <w:p>
      <w:r>
        <w:t>A directed cross-label compatibility may be written</w:t>
      </w:r>
    </w:p>
    <w:p>
      <w:pPr>
        <w:pStyle w:val="Equation"/>
        <w:jc w:val="center"/>
      </w:pPr>
      <w:r>
        <w:t>C_W(H,K) = \sum_{\ell,m} w_{\ell m} \left\langle P_{\ell\rightarrow m}H_\ell, K_m \right\rangle.</w:t>
      </w:r>
    </w:p>
    <w:p>
      <w:r>
        <w:t>This makes the semantic bridge explicit. The system does not compare unlike components merely because a flattening makes the dot product executable.</w:t>
      </w:r>
    </w:p>
    <w:p>
      <w:pPr>
        <w:pStyle w:val="Heading2"/>
      </w:pPr>
      <w:r>
        <w:t>5.4 When a cross-label form is actually an inner product</w:t>
      </w:r>
    </w:p>
    <w:p>
      <w:r>
        <w:t>Under a fixed flattening, any bilinear form may be written</w:t>
      </w:r>
    </w:p>
    <w:p>
      <w:pPr>
        <w:pStyle w:val="Equation"/>
        <w:jc w:val="center"/>
      </w:pPr>
      <w:r>
        <w:t>B_A(H,K) = \operatorname{flat}(H)^T A \operatorname{flat}(K).</w:t>
      </w:r>
    </w:p>
    <w:p>
      <w:r>
        <w:t>For this to be an inner product on the real state space, \(A\) must be symmetric positive definite:</w:t>
      </w:r>
    </w:p>
    <w:p>
      <w:pPr>
        <w:pStyle w:val="Equation"/>
        <w:jc w:val="center"/>
      </w:pPr>
      <w:r>
        <w:t>A=A^T, \qquad x^TAx&gt;0 \quad \forall x\neq 0.</w:t>
      </w:r>
    </w:p>
    <w:p>
      <w:r>
        <w:t>If \(A\) is symmetric positive semidefinite but singular,</w:t>
      </w:r>
    </w:p>
    <w:p>
      <w:pPr>
        <w:pStyle w:val="Equation"/>
        <w:jc w:val="center"/>
      </w:pPr>
      <w:r>
        <w:t>A\succeq 0,</w:t>
      </w:r>
    </w:p>
    <w:p>
      <w:r>
        <w:t>then the induced quantity is a seminorm, not a norm.</w:t>
      </w:r>
    </w:p>
    <w:p>
      <w:r>
        <w:t>If \(A\) is asymmetric or indefinite, the construction may still be useful as a directed compatibility score, but it must not inherit inner-product or metric terminology.</w:t>
      </w:r>
    </w:p>
    <w:p>
      <w:r>
        <w:t>This corrects the weaker historical statement that positive semidefiniteness alone sufficed for a true inner product.</w:t>
      </w:r>
    </w:p>
    <w:p>
      <w:pPr>
        <w:pStyle w:val="Heading2"/>
      </w:pPr>
      <w:r>
        <w:t>5.5 Normalized similarity</w:t>
      </w:r>
    </w:p>
    <w:p>
      <w:r>
        <w:t>For a valid positive-definite weighted inner product,</w:t>
      </w:r>
    </w:p>
    <w:p>
      <w:pPr>
        <w:pStyle w:val="Equation"/>
        <w:jc w:val="center"/>
      </w:pPr>
      <w:r>
        <w:t>\operatorname{sim}_w(H,K) = \frac{ B_w(H,K) }{ \|H\|_w\|K\|_w }</w:t>
      </w:r>
    </w:p>
    <w:p>
      <w:r>
        <w:t>whenever both norms are nonzero.</w:t>
      </w:r>
    </w:p>
    <w:p>
      <w:r>
        <w:t>An implementation may use</w:t>
      </w:r>
    </w:p>
    <w:p>
      <w:pPr>
        <w:pStyle w:val="Equation"/>
        <w:jc w:val="center"/>
      </w:pPr>
      <w:r>
        <w:t>\operatorname{sim}_{w,\epsilon}(H,K) = \frac{ B_w(H,K) }{ \|H\|_w\|K\|_w+\epsilon }</w:t>
      </w:r>
    </w:p>
    <w:p>
      <w:r>
        <w:t>with \(\epsilon&gt;0\) as a numerical safeguard. The \(\epsilon\) term is not part of the abstract cosine definition.</w:t>
      </w:r>
    </w:p>
    <w:p>
      <w:r>
        <w:t>If the numerator is a general directed compatibility score that has not been proven to arise from an inner product, a safer normalization is</w:t>
      </w:r>
    </w:p>
    <w:p>
      <w:pPr>
        <w:pStyle w:val="Equation"/>
        <w:jc w:val="center"/>
      </w:pPr>
      <w:r>
        <w:t>\operatorname{score}(H,K) = \frac{ C_W(H,K) }{ \|H\|_\alpha\|K\|_\beta+\epsilon },</w:t>
      </w:r>
    </w:p>
    <w:p>
      <w:r>
        <w:t>using independently valid norms.</w:t>
      </w:r>
    </w:p>
    <w:p>
      <w:pPr>
        <w:pStyle w:val="Heading2"/>
      </w:pPr>
      <w:r>
        <w:t>5.6 Similarity is derived evidence</w:t>
      </w:r>
    </w:p>
    <w:p>
      <w:r>
        <w:t>HTLA similarity participates in retrieval and comparison. It does not become an identity or authority relation.</w:t>
      </w:r>
    </w:p>
    <w:p>
      <w:r>
        <w:t>The forbidden implication is</w:t>
      </w:r>
    </w:p>
    <w:p>
      <w:pPr>
        <w:pStyle w:val="Equation"/>
        <w:jc w:val="center"/>
      </w:pPr>
      <w:r>
        <w:t>\operatorname{sim}(H,K)\approx 1 \quad\Longrightarrow\quad \text{same identity}.</w:t>
      </w:r>
    </w:p>
    <w:p>
      <w:r>
        <w:t>The equally forbidden implication is</w:t>
      </w:r>
    </w:p>
    <w:p>
      <w:pPr>
        <w:pStyle w:val="Equation"/>
        <w:jc w:val="center"/>
      </w:pPr>
      <w:r>
        <w:t>\operatorname{sim}(H,K)\approx 1 \quad\Longrightarrow\quad \text{represented proposition is true}.</w:t>
      </w:r>
    </w:p>
    <w:p>
      <w:r>
        <w:t>The Nexus rule is:</w:t>
      </w:r>
    </w:p>
    <w:p>
      <w:pPr>
        <w:pStyle w:val="CodeBlock"/>
        <w:shd w:fill="F3F6F8"/>
        <w:pBdr>
          <w:left w:val="single" w:sz="12" w:space="5" w:color="6C8EAD"/>
        </w:pBdr>
      </w:pPr>
      <w:r>
        <w:t>similarity != identity</w:t>
        <w:br/>
        <w:t>similarity != truth</w:t>
        <w:br/>
        <w:t>similarity != continuity</w:t>
        <w:br/>
        <w:t>similarity != authorization</w:t>
        <w:br/>
        <w:t>similarity != constitutional admissibility</w:t>
      </w:r>
    </w:p>
    <w:p>
      <w:r>
        <w:t>ANN/HNSW indexes may accelerate the discovery of high-similarity candidates, but the index remains derived acceleration state.</w:t>
      </w:r>
    </w:p>
    <w:p>
      <w:pPr>
        <w:pStyle w:val="Heading1"/>
      </w:pPr>
      <w:r>
        <w:t>6. Dimension-Changing Morphisms and Recoverability Contracts</w:t>
      </w:r>
    </w:p>
    <w:p>
      <w:pPr>
        <w:pStyle w:val="Heading2"/>
      </w:pPr>
      <w:r>
        <w:t>6.1 General linear morphism</w:t>
      </w:r>
    </w:p>
    <w:p>
      <w:r>
        <w:t>A dimension-changing HTLA block is</w:t>
      </w:r>
    </w:p>
    <w:p>
      <w:pPr>
        <w:pStyle w:val="Equation"/>
        <w:jc w:val="center"/>
      </w:pPr>
      <w:r>
        <w:t>E_{t\leftarrow s}: \mathbb R^{p_s} \rightarrow \mathbb R^{q_t}, \qquad E_{t\leftarrow s}(x)=Px.</w:t>
      </w:r>
    </w:p>
    <w:p>
      <w:r>
        <w:t>The rank-nullity theorem immediately bounds what can be recovered.</w:t>
      </w:r>
    </w:p>
    <w:p>
      <w:r>
        <w:t>If</w:t>
      </w:r>
    </w:p>
    <w:p>
      <w:pPr>
        <w:pStyle w:val="Equation"/>
        <w:jc w:val="center"/>
      </w:pPr>
      <w:r>
        <w:t>q_t&lt;p_s,</w:t>
      </w:r>
    </w:p>
    <w:p>
      <w:r>
        <w:t>then no linear map can be injective over the entire source space. The null space is nontrivial:</w:t>
      </w:r>
    </w:p>
    <w:p>
      <w:pPr>
        <w:pStyle w:val="Equation"/>
        <w:jc w:val="center"/>
      </w:pPr>
      <w:r>
        <w:t>\ker(P)\neq\{0\}.</w:t>
      </w:r>
    </w:p>
    <w:p>
      <w:r>
        <w:t>For \(v\in\ker(P)\),</w:t>
      </w:r>
    </w:p>
    <w:p>
      <w:pPr>
        <w:pStyle w:val="Equation"/>
        <w:jc w:val="center"/>
      </w:pPr>
      <w:r>
        <w:t>P(x+v)=Px.</w:t>
      </w:r>
    </w:p>
    <w:p>
      <w:r>
        <w:t>The output therefore cannot distinguish \(x\) from \(x+v\).</w:t>
      </w:r>
    </w:p>
    <w:p>
      <w:r>
        <w:t>This yields the core rule:</w:t>
      </w:r>
    </w:p>
    <w:p>
      <w:pPr>
        <w:pStyle w:val="CodeBlock"/>
        <w:shd w:fill="F3F6F8"/>
        <w:pBdr>
          <w:left w:val="single" w:sz="12" w:space="5" w:color="6C8EAD"/>
        </w:pBdr>
      </w:pPr>
      <w:r>
        <w:t>dimension reduction != lossless transformation</w:t>
      </w:r>
    </w:p>
    <w:p>
      <w:pPr>
        <w:pStyle w:val="Heading2"/>
      </w:pPr>
      <w:r>
        <w:t>6.2 Moore-Penrose pseudoinverse</w:t>
      </w:r>
    </w:p>
    <w:p>
      <w:r>
        <w:t>For a matrix</w:t>
      </w:r>
    </w:p>
    <w:p>
      <w:pPr>
        <w:pStyle w:val="Equation"/>
        <w:jc w:val="center"/>
      </w:pPr>
      <w:r>
        <w:t>P=U\Sigma V^T,</w:t>
      </w:r>
    </w:p>
    <w:p>
      <w:r>
        <w:t>the Moore-Penrose pseudoinverse is</w:t>
      </w:r>
    </w:p>
    <w:p>
      <w:pPr>
        <w:pStyle w:val="Equation"/>
        <w:jc w:val="center"/>
      </w:pPr>
      <w:r>
        <w:t>P^+ = V\Sigma^+U^T,</w:t>
      </w:r>
    </w:p>
    <w:p>
      <w:r>
        <w:t>where nonzero singular values are inverted.</w:t>
      </w:r>
    </w:p>
    <w:p>
      <w:r>
        <w:t>It provides the canonical least-squares/minimum-norm generalized inverse. It does not reconstruct null-space information destroyed by the forward map.</w:t>
      </w:r>
    </w:p>
    <w:p>
      <w:pPr>
        <w:pStyle w:val="Heading2"/>
      </w:pPr>
      <w:r>
        <w:t>6.3 Tikhonov-regularized inverse map</w:t>
      </w:r>
    </w:p>
    <w:p>
      <w:r>
        <w:t>The historical HTLA text used</w:t>
      </w:r>
    </w:p>
    <w:p>
      <w:pPr>
        <w:pStyle w:val="Equation"/>
        <w:jc w:val="center"/>
      </w:pPr>
      <w:r>
        <w:t>P^+_\lambda = V(\Sigma^2+\lambda I)^{-1}\Sigma U^T, \qquad \lambda&gt;0.</w:t>
      </w:r>
    </w:p>
    <w:p>
      <w:r>
        <w:t xml:space="preserve">A more precise name is </w:t>
      </w:r>
      <w:r>
        <w:rPr>
          <w:b/>
        </w:rPr>
        <w:t>Tikhonov-regularized inverse map</w:t>
      </w:r>
      <w:r>
        <w:t xml:space="preserve"> or </w:t>
      </w:r>
      <w:r>
        <w:rPr>
          <w:b/>
        </w:rPr>
        <w:t>regularized pseudoinverse operator</w:t>
      </w:r>
      <w:r>
        <w:t>.</w:t>
      </w:r>
    </w:p>
    <w:p>
      <w:r>
        <w:t>In singular coordinates its filter factors are</w:t>
      </w:r>
    </w:p>
    <w:p>
      <w:pPr>
        <w:pStyle w:val="Equation"/>
        <w:jc w:val="center"/>
      </w:pPr>
      <w:r>
        <w:t>f_\lambda(\sigma_i) = \frac{\sigma_i}{\sigma_i^2+\lambda}.</w:t>
      </w:r>
    </w:p>
    <w:p>
      <w:r>
        <w:t>Then</w:t>
      </w:r>
    </w:p>
    <w:p>
      <w:pPr>
        <w:pStyle w:val="Equation"/>
        <w:jc w:val="center"/>
      </w:pPr>
      <w:r>
        <w:t>P_\lambda^+P = V \operatorname{diag} \left( \frac{\sigma_i^2} {\sigma_i^2+\lambda} \right) V^T.</w:t>
      </w:r>
    </w:p>
    <w:p>
      <w:r>
        <w:t>For positive \(\lambda\), nonzero singular directions are attenuated. The map is therefore deliberately biased and is not an exact inverse even when \(P\) is square and nonsingular.</w:t>
      </w:r>
    </w:p>
    <w:p>
      <w:pPr>
        <w:pStyle w:val="Heading2"/>
      </w:pPr>
      <w:r>
        <w:t>6.4 Reconstruction error</w:t>
      </w:r>
    </w:p>
    <w:p>
      <w:r>
        <w:t>For</w:t>
      </w:r>
    </w:p>
    <w:p>
      <w:pPr>
        <w:pStyle w:val="Equation"/>
        <w:jc w:val="center"/>
      </w:pPr>
      <w:r>
        <w:t>y=Px</w:t>
      </w:r>
    </w:p>
    <w:p>
      <w:r>
        <w:t>and reconstructed state</w:t>
      </w:r>
    </w:p>
    <w:p>
      <w:pPr>
        <w:pStyle w:val="Equation"/>
        <w:jc w:val="center"/>
      </w:pPr>
      <w:r>
        <w:t>\hat x=P_\lambda^+y,</w:t>
      </w:r>
    </w:p>
    <w:p>
      <w:r>
        <w:t>define</w:t>
      </w:r>
    </w:p>
    <w:p>
      <w:pPr>
        <w:pStyle w:val="Equation"/>
        <w:jc w:val="center"/>
      </w:pPr>
      <w:r>
        <w:t>e_{\mathrm{rec}}(x) = \|x-\hat x\|_2.</w:t>
      </w:r>
    </w:p>
    <w:p>
      <w:r>
        <w:t>Depending on the subsystem, a richer contract may also retain:</w:t>
      </w:r>
    </w:p>
    <w:p>
      <w:pPr>
        <w:pStyle w:val="CodeBlock"/>
        <w:shd w:fill="F3F6F8"/>
        <w:pBdr>
          <w:left w:val="single" w:sz="12" w:space="5" w:color="6C8EAD"/>
        </w:pBdr>
      </w:pPr>
      <w:r>
        <w:t>relative error</w:t>
        <w:br/>
        <w:t>componentwise error</w:t>
        <w:br/>
        <w:t>confidence interval</w:t>
        <w:br/>
        <w:t>rank / numerical rank</w:t>
        <w:br/>
        <w:t>condition number</w:t>
        <w:br/>
        <w:t>null-space dimension</w:t>
        <w:br/>
        <w:t>training/reference domain</w:t>
        <w:br/>
        <w:t>out-of-distribution indicator</w:t>
        <w:br/>
        <w:t>transform version</w:t>
      </w:r>
    </w:p>
    <w:p>
      <w:r>
        <w:t>An inverse-shaped output is therefore not epistemically equivalent to the original state.</w:t>
      </w:r>
    </w:p>
    <w:p>
      <w:pPr>
        <w:pStyle w:val="CodeBlock"/>
        <w:shd w:fill="F3F6F8"/>
        <w:pBdr>
          <w:left w:val="single" w:sz="12" w:space="5" w:color="6C8EAD"/>
        </w:pBdr>
      </w:pPr>
      <w:r>
        <w:t>inverse estimate != original state</w:t>
      </w:r>
    </w:p>
    <w:p>
      <w:pPr>
        <w:pStyle w:val="Heading2"/>
      </w:pPr>
      <w:r>
        <w:t>6.5 Johnson-Lindenstrauss embeddings</w:t>
      </w:r>
    </w:p>
    <w:p>
      <w:r>
        <w:t>A suitably normalized random projection can preserve pairwise Euclidean distances over a finite set.</w:t>
      </w:r>
    </w:p>
    <w:p>
      <w:r>
        <w:t>For a finite set \(X\) with \(N=|X|\), Johnson-Lindenstrauss-type results permit embedding into dimension on the order of</w:t>
      </w:r>
    </w:p>
    <w:p>
      <w:pPr>
        <w:pStyle w:val="Equation"/>
        <w:jc w:val="center"/>
      </w:pPr>
      <w:r>
        <w:t>m = O\!\left( \frac{\log N}{\epsilon^2} \right)</w:t>
      </w:r>
    </w:p>
    <w:p>
      <w:r>
        <w:t>up to theorem-specific constants and probability parameters, such that for relevant pairs</w:t>
      </w:r>
    </w:p>
    <w:p>
      <w:pPr>
        <w:pStyle w:val="Equation"/>
        <w:jc w:val="center"/>
      </w:pPr>
      <w:r>
        <w:t>(1-\epsilon)\|x-y\|_2^2 \le \|P(x-y)\|_2^2 \le (1+\epsilon)\|x-y\|_2^2.</w:t>
      </w:r>
    </w:p>
    <w:p>
      <w:r>
        <w:t>The correct architectural conclusion is limited:</w:t>
      </w:r>
    </w:p>
    <w:p>
      <w:pPr>
        <w:ind w:left="432" w:right="288"/>
        <w:shd w:fill="EEF3F7"/>
        <w:pBdr>
          <w:left w:val="single" w:sz="12" w:space="5" w:color="6C8EAD"/>
        </w:pBdr>
      </w:pPr>
      <w:r>
        <w:t>A specified finite set may retain selected pairwise geometry within a stated probabilistic distortion envelope.</w:t>
      </w:r>
    </w:p>
    <w:p>
      <w:r>
        <w:t xml:space="preserve">JL does </w:t>
      </w:r>
      <w:r>
        <w:rPr>
          <w:b/>
        </w:rPr>
        <w:t>not</w:t>
      </w:r>
      <w:r>
        <w:t xml:space="preserve"> establish:</w:t>
      </w:r>
    </w:p>
    <w:p>
      <w:pPr>
        <w:pStyle w:val="CodeBlock"/>
        <w:shd w:fill="F3F6F8"/>
        <w:pBdr>
          <w:left w:val="single" w:sz="12" w:space="5" w:color="6C8EAD"/>
        </w:pBdr>
      </w:pPr>
      <w:r>
        <w:t>lossless dimensional reduction</w:t>
        <w:br/>
        <w:t>semantic preservation for every property</w:t>
        <w:br/>
        <w:t>exact invertibility</w:t>
        <w:br/>
        <w:t>identity preservation</w:t>
        <w:br/>
        <w:t>truth preservation</w:t>
      </w:r>
    </w:p>
    <w:p>
      <w:pPr>
        <w:pStyle w:val="Heading2"/>
      </w:pPr>
      <w:r>
        <w:t>6.6 Transform contract</w:t>
      </w:r>
    </w:p>
    <w:p>
      <w:r>
        <w:t>Every dimension-changing morphism used as a load-bearing Nexus transform should carry an explicit contract. A minimum descriptor is:</w:t>
      </w:r>
    </w:p>
    <w:p>
      <w:pPr>
        <w:pStyle w:val="CodeBlock"/>
        <w:shd w:fill="F3F6F8"/>
        <w:pBdr>
          <w:left w:val="single" w:sz="12" w:space="5" w:color="6C8EAD"/>
        </w:pBdr>
      </w:pPr>
      <w:r>
        <w:t>transform_id</w:t>
        <w:br/>
        <w:t>source_label</w:t>
        <w:br/>
        <w:t>target_label</w:t>
        <w:br/>
        <w:t>source_dimension</w:t>
        <w:br/>
        <w:t>target_dimension</w:t>
        <w:br/>
        <w:t>matrix / construction version</w:t>
        <w:br/>
        <w:t>rank or numerical-rank estimate</w:t>
        <w:br/>
        <w:t>intended reference domain</w:t>
        <w:br/>
        <w:t>distortion metric</w:t>
        <w:br/>
        <w:t>distortion bound or measured error</w:t>
        <w:br/>
        <w:t>failure probability, if probabilistic</w:t>
        <w:br/>
        <w:t>decoder / reconstruction rule</w:t>
        <w:br/>
        <w:t>regularization parameters</w:t>
        <w:br/>
        <w:t>provenance</w:t>
        <w:br/>
        <w:t>schema version</w:t>
      </w:r>
    </w:p>
    <w:p>
      <w:r>
        <w:t>For an approximate transform chain</w:t>
      </w:r>
    </w:p>
    <w:p>
      <w:pPr>
        <w:pStyle w:val="Equation"/>
        <w:jc w:val="center"/>
      </w:pPr>
      <w:r>
        <w:t>x \xrightarrow{P_1} z \xrightarrow{P_2} y,</w:t>
      </w:r>
    </w:p>
    <w:p>
      <w:r>
        <w:t>the combined map is</w:t>
      </w:r>
    </w:p>
    <w:p>
      <w:pPr>
        <w:pStyle w:val="Equation"/>
        <w:jc w:val="center"/>
      </w:pPr>
      <w:r>
        <w:t>y=P_2P_1x.</w:t>
      </w:r>
    </w:p>
    <w:p>
      <w:r>
        <w:t>Approximation obligations compose; exactness does not appear by composition.</w:t>
      </w:r>
    </w:p>
    <w:p>
      <w:pPr>
        <w:pStyle w:val="CodeBlock"/>
        <w:shd w:fill="F3F6F8"/>
        <w:pBdr>
          <w:left w:val="single" w:sz="12" w:space="5" w:color="6C8EAD"/>
        </w:pBdr>
      </w:pPr>
      <w:r>
        <w:t>approximation provenance composes</w:t>
        <w:br/>
        <w:t>exactness does not</w:t>
      </w:r>
    </w:p>
    <w:p>
      <w:pPr>
        <w:pStyle w:val="Heading1"/>
      </w:pPr>
      <w:r>
        <w:t>7. Nexus Quinary Reference Geometry</w:t>
      </w:r>
    </w:p>
    <w:p>
      <w:pPr>
        <w:pStyle w:val="Heading2"/>
      </w:pPr>
      <w:r>
        <w:t>7.1 Status of this section</w:t>
      </w:r>
    </w:p>
    <w:p>
      <w:r>
        <w:t xml:space="preserve">The material in this section is </w:t>
      </w:r>
      <w:r>
        <w:rPr>
          <w:rFonts w:ascii="DejaVu Sans Mono" w:hAnsi="DejaVu Sans Mono"/>
          <w:sz w:val="18"/>
        </w:rPr>
        <w:t>CANONICAL</w:t>
      </w:r>
      <w:r>
        <w:t xml:space="preserve"> as a current Nexus reference-geometry contract and </w:t>
      </w:r>
      <w:r>
        <w:rPr>
          <w:rFonts w:ascii="DejaVu Sans Mono" w:hAnsi="DejaVu Sans Mono"/>
          <w:sz w:val="18"/>
        </w:rPr>
        <w:t>APPLICATION-SPECIFIC</w:t>
      </w:r>
      <w:r>
        <w:t xml:space="preserve"> relative to general HTLA mathematics. It must not be universalized into every future HTLA substrate.</w:t>
      </w:r>
    </w:p>
    <w:p>
      <w:r>
        <w:t>The current demonstrator uses</w:t>
      </w:r>
    </w:p>
    <w:p>
      <w:pPr>
        <w:pStyle w:val="Equation"/>
        <w:jc w:val="center"/>
      </w:pPr>
      <w:r>
        <w:t>d=1024</w:t>
      </w:r>
    </w:p>
    <w:p>
      <w:r>
        <w:t>coordinates with alphabet</w:t>
      </w:r>
    </w:p>
    <w:p>
      <w:pPr>
        <w:pStyle w:val="Equation"/>
        <w:jc w:val="center"/>
      </w:pPr>
      <w:r>
        <w:t>\mathcal Q = \{-2,-1,0,+1,+2\}.</w:t>
      </w:r>
    </w:p>
    <w:p>
      <w:pPr>
        <w:pStyle w:val="Heading2"/>
      </w:pPr>
      <w:r>
        <w:t>7.2 Three-plane encoding</w:t>
      </w:r>
    </w:p>
    <w:p>
      <w:r>
        <w:t>Each coordinate can be represented through:</w:t>
      </w:r>
    </w:p>
    <w:p>
      <w:pPr>
        <w:pStyle w:val="ListBullet"/>
      </w:pPr>
      <w:r>
        <w:t>sign plane \(S\);</w:t>
      </w:r>
    </w:p>
    <w:p>
      <w:pPr>
        <w:pStyle w:val="ListBullet"/>
      </w:pPr>
      <w:r>
        <w:t>magnitude-1 plane \(M_1\);</w:t>
      </w:r>
    </w:p>
    <w:p>
      <w:pPr>
        <w:pStyle w:val="ListBullet"/>
      </w:pPr>
      <w:r>
        <w:t>magnitude-2 plane \(M_2\).</w:t>
      </w:r>
    </w:p>
    <w:p>
      <w:r>
        <w:t>Define the activity mask</w:t>
      </w:r>
    </w:p>
    <w:p>
      <w:pPr>
        <w:pStyle w:val="Equation"/>
        <w:jc w:val="center"/>
      </w:pPr>
      <w:r>
        <w:t>A=M_1\lor M_2.</w:t>
      </w:r>
    </w:p>
    <w:p>
      <w:r>
        <w:t>The structural invariants are</w:t>
      </w:r>
    </w:p>
    <w:p>
      <w:pPr>
        <w:pStyle w:val="Equation"/>
        <w:jc w:val="center"/>
      </w:pPr>
      <w:r>
        <w:t>M_1\land M_2=0</w:t>
      </w:r>
    </w:p>
    <w:p>
      <w:r>
        <w:t>and</w:t>
      </w:r>
    </w:p>
    <w:p>
      <w:pPr>
        <w:pStyle w:val="Equation"/>
        <w:jc w:val="center"/>
      </w:pPr>
      <w:r>
        <w:t>S\land\neg A=0.</w:t>
      </w:r>
    </w:p>
    <w:p>
      <w:r>
        <w:t>The first prevents a coordinate from simultaneously encoding magnitude 1 and magnitude 2. The second prevents a sign bit from remaining active on a structural vacuum coordinate.</w:t>
      </w:r>
    </w:p>
    <w:p>
      <w:r>
        <w:t>These are representation invariants, not semantic truth conditions.</w:t>
      </w:r>
    </w:p>
    <w:p>
      <w:pPr>
        <w:pStyle w:val="Heading2"/>
      </w:pPr>
      <w:r>
        <w:t>7.3 Reference sparsity wall</w:t>
      </w:r>
    </w:p>
    <w:p>
      <w:r>
        <w:t>The current reference geometry imposes</w:t>
      </w:r>
    </w:p>
    <w:p>
      <w:pPr>
        <w:pStyle w:val="Equation"/>
        <w:jc w:val="center"/>
      </w:pPr>
      <w:r>
        <w:t>\|A\|_0\le 307.</w:t>
      </w:r>
    </w:p>
    <w:p>
      <w:r>
        <w:t>At the maximum occupancy,</w:t>
      </w:r>
    </w:p>
    <w:p>
      <w:pPr>
        <w:pStyle w:val="Equation"/>
        <w:jc w:val="center"/>
      </w:pPr>
      <w:r>
        <w:t>1-\frac{307}{1024} = 0.7001953125,</w:t>
      </w:r>
    </w:p>
    <w:p>
      <w:r>
        <w:t>or approximately \(70.02\%\) structural vacuum.</w:t>
      </w:r>
    </w:p>
    <w:p>
      <w:r>
        <w:t>This is a versioned occupancy constraint of the reference implementation.</w:t>
      </w:r>
    </w:p>
    <w:p>
      <w:r>
        <w:t xml:space="preserve">It is </w:t>
      </w:r>
      <w:r>
        <w:rPr>
          <w:b/>
        </w:rPr>
        <w:t>not</w:t>
      </w:r>
      <w:r>
        <w:t xml:space="preserve"> a theorem that all useful HSL/HTLA representations must be 70% sparse.</w:t>
      </w:r>
    </w:p>
    <w:p>
      <w:pPr>
        <w:pStyle w:val="Heading2"/>
      </w:pPr>
      <w:r>
        <w:t>7.4 Reference quinary binding</w:t>
      </w:r>
    </w:p>
    <w:p>
      <w:r>
        <w:t>For quinary coordinates \(q_i,r_i\in\mathcal Q\), the current canonical binding rule is</w:t>
      </w:r>
    </w:p>
    <w:p>
      <w:pPr>
        <w:pStyle w:val="Equation"/>
        <w:jc w:val="center"/>
      </w:pPr>
      <w:r>
        <w:t>(q\otimes r)_i = \begin{cases} 0, &amp; q_i=0 \text{ or } r_i=0,\\[4pt] \operatorname{sgn}(q_ir_i) \min(|q_i|,|r_i|), &amp; \text{otherwise}. \end{cases}</w:t>
      </w:r>
    </w:p>
    <w:p>
      <w:r>
        <w:t>The operation is deterministic and closed over \(\mathcal Q\).</w:t>
      </w:r>
    </w:p>
    <w:p>
      <w:r>
        <w:t>It is also information-losing.</w:t>
      </w:r>
    </w:p>
    <w:p>
      <w:r>
        <w:t>For example, a composite magnitude of 1 does not uniquely reveal whether a constituent had magnitude 1 or 2, because the minimum operation collapses several distinct input pairs into the same output.</w:t>
      </w:r>
    </w:p>
    <w:p>
      <w:r>
        <w:t>Therefore binding is not permitted to imply exact invertibility.</w:t>
      </w:r>
    </w:p>
    <w:p>
      <w:pPr>
        <w:pStyle w:val="Heading2"/>
      </w:pPr>
      <w:r>
        <w:t>7.5 Partial-unbind epistemic states</w:t>
      </w:r>
    </w:p>
    <w:p>
      <w:r>
        <w:t>A coordinate-level partial-unbind procedure returns both a value candidate, where meaningful, and an epistemic status:</w:t>
      </w:r>
    </w:p>
    <w:tbl>
      <w:tblPr>
        <w:tblStyle w:val="TableGrid"/>
        <w:tblW w:type="auto" w:w="0"/>
        <w:jc w:val="center"/>
        <w:tblLayout w:type="autofit"/>
        <w:tblLook w:firstColumn="1" w:firstRow="1" w:lastColumn="0" w:lastRow="0" w:noHBand="0" w:noVBand="1" w:val="04A0"/>
      </w:tblPr>
      <w:tblGrid>
        <w:gridCol w:w="4939"/>
        <w:gridCol w:w="4939"/>
      </w:tblGrid>
      <w:tr>
        <w:trPr>
          <w:cantSplit/>
          <w:tblHeader w:val="true"/>
        </w:trPr>
        <w:tc>
          <w:tcPr>
            <w:tcW w:type="dxa" w:w="4939"/>
            <w:vAlign w:val="center"/>
            <w:tcMar>
              <w:top w:w="70" w:type="dxa"/>
              <w:start w:w="90" w:type="dxa"/>
              <w:bottom w:w="70" w:type="dxa"/>
              <w:end w:w="90" w:type="dxa"/>
            </w:tcMar>
            <w:shd w:fill="DCE6F1"/>
          </w:tcPr>
          <w:p>
            <w:r>
              <w:rPr>
                <w:rFonts w:ascii="Liberation Sans" w:hAnsi="Liberation Sans"/>
                <w:b/>
                <w:sz w:val="16"/>
              </w:rPr>
            </w:r>
            <w:r>
              <w:rPr>
                <w:rFonts w:ascii="Liberation Sans" w:hAnsi="Liberation Sans"/>
                <w:b/>
                <w:sz w:val="16"/>
              </w:rPr>
              <w:t>State</w:t>
            </w:r>
          </w:p>
        </w:tc>
        <w:tc>
          <w:tcPr>
            <w:tcW w:type="dxa" w:w="4939"/>
            <w:vAlign w:val="center"/>
            <w:tcMar>
              <w:top w:w="70" w:type="dxa"/>
              <w:start w:w="90" w:type="dxa"/>
              <w:bottom w:w="70" w:type="dxa"/>
              <w:end w:w="90" w:type="dxa"/>
            </w:tcMar>
            <w:shd w:fill="DCE6F1"/>
          </w:tcPr>
          <w:p>
            <w:r>
              <w:rPr>
                <w:rFonts w:ascii="Liberation Sans" w:hAnsi="Liberation Sans"/>
                <w:b/>
                <w:sz w:val="16"/>
              </w:rPr>
            </w:r>
            <w:r>
              <w:rPr>
                <w:rFonts w:ascii="Liberation Sans" w:hAnsi="Liberation Sans"/>
                <w:b/>
                <w:sz w:val="16"/>
              </w:rPr>
              <w:t>Meaning</w:t>
            </w:r>
          </w:p>
        </w:tc>
      </w:tr>
      <w:tr>
        <w:trPr>
          <w:cantSplit/>
        </w:trPr>
        <w:tc>
          <w:tcPr>
            <w:tcW w:type="dxa" w:w="4939"/>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EXACT</w:t>
            </w:r>
          </w:p>
        </w:tc>
        <w:tc>
          <w:tcPr>
            <w:tcW w:type="dxa" w:w="4939"/>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The constituent input value is uniquely recoverable under the binding contract.</w:t>
            </w:r>
          </w:p>
        </w:tc>
      </w:tr>
      <w:tr>
        <w:trPr>
          <w:cantSplit/>
        </w:trPr>
        <w:tc>
          <w:tcPr>
            <w:tcW w:type="dxa" w:w="4939"/>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AMBIGUOUS</w:t>
            </w:r>
          </w:p>
        </w:tc>
        <w:tc>
          <w:tcPr>
            <w:tcW w:type="dxa" w:w="4939"/>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More than one constituent value is compatible with the observed composite and known binder.</w:t>
            </w:r>
          </w:p>
        </w:tc>
      </w:tr>
      <w:tr>
        <w:trPr>
          <w:cantSplit/>
        </w:trPr>
        <w:tc>
          <w:tcPr>
            <w:tcW w:type="dxa" w:w="4939"/>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UNKNOWN</w:t>
            </w:r>
          </w:p>
        </w:tc>
        <w:tc>
          <w:tcPr>
            <w:tcW w:type="dxa" w:w="4939"/>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The binding operation removed information required to recover the constituent.</w:t>
            </w:r>
          </w:p>
        </w:tc>
      </w:tr>
      <w:tr>
        <w:trPr>
          <w:cantSplit/>
        </w:trPr>
        <w:tc>
          <w:tcPr>
            <w:tcW w:type="dxa" w:w="4939"/>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IMPOSSIBLE</w:t>
            </w:r>
          </w:p>
        </w:tc>
        <w:tc>
          <w:tcPr>
            <w:tcW w:type="dxa" w:w="4939"/>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The observed composite/binder relation violates the assumed binding contract.</w:t>
            </w:r>
          </w:p>
        </w:tc>
      </w:tr>
    </w:tbl>
    <w:p/>
    <w:p>
      <w:r>
        <w:t>These states are not interchangeable.</w:t>
      </w:r>
    </w:p>
    <w:p>
      <w:r>
        <w:t>In particular:</w:t>
      </w:r>
    </w:p>
    <w:p>
      <w:pPr>
        <w:pStyle w:val="CodeBlock"/>
        <w:shd w:fill="F3F6F8"/>
        <w:pBdr>
          <w:left w:val="single" w:sz="12" w:space="5" w:color="6C8EAD"/>
        </w:pBdr>
      </w:pPr>
      <w:r>
        <w:t>UNKNOWN != zero</w:t>
        <w:br/>
        <w:t>AMBIGUOUS != approximate exactness</w:t>
        <w:br/>
        <w:t>IMPOSSIBLE != merely low confidence</w:t>
      </w:r>
    </w:p>
    <w:p>
      <w:pPr>
        <w:pStyle w:val="Heading2"/>
      </w:pPr>
      <w:r>
        <w:t>7.6 Historical binding formulation</w:t>
      </w:r>
    </w:p>
    <w:p>
      <w:r>
        <w:t xml:space="preserve">Earlier HTLA/HTNLA research used circular convolution and, in some variants, nonlinear saturation such as </w:t>
      </w:r>
      <w:r>
        <w:rPr>
          <w:rFonts w:ascii="DejaVu Sans Mono" w:hAnsi="DejaVu Sans Mono"/>
          <w:sz w:val="18"/>
        </w:rPr>
        <w:t>tanh</w:t>
      </w:r>
      <w:r>
        <w:t xml:space="preserve">. That formulation is </w:t>
      </w:r>
      <w:r>
        <w:rPr>
          <w:rFonts w:ascii="DejaVu Sans Mono" w:hAnsi="DejaVu Sans Mono"/>
          <w:sz w:val="18"/>
        </w:rPr>
        <w:t>HISTORICAL/SUPERSEDED</w:t>
      </w:r>
      <w:r>
        <w:t xml:space="preserve"> as the current Nexus reference binding contract.</w:t>
      </w:r>
    </w:p>
    <w:p>
      <w:r>
        <w:t>This does not make circular convolution mathematically invalid; it remains established VSA prior art. It means only that the current Nexus reference implementation uses the explicit quinary information-loss contract because it makes recoverability mechanically inspectable.</w:t>
      </w:r>
    </w:p>
    <w:p>
      <w:pPr>
        <w:pStyle w:val="Heading2"/>
      </w:pPr>
      <w:r>
        <w:t>7.7 Verification scope</w:t>
      </w:r>
    </w:p>
    <w:p>
      <w:r>
        <w:t>The Nexus verification record reports successful tests in the specified reference environment for:</w:t>
      </w:r>
    </w:p>
    <w:p>
      <w:pPr>
        <w:pStyle w:val="CodeBlock"/>
        <w:shd w:fill="F3F6F8"/>
        <w:pBdr>
          <w:left w:val="single" w:sz="12" w:space="5" w:color="6C8EAD"/>
        </w:pBdr>
      </w:pPr>
      <w:r>
        <w:t>quinary dense/packed round trips</w:t>
        <w:br/>
        <w:t>active-mask invariants</w:t>
        <w:br/>
        <w:t>sign-vacuum invariants</w:t>
        <w:br/>
        <w:t>reference binding behavior</w:t>
        <w:br/>
        <w:t>partial-inverse admissibility on tested cases</w:t>
        <w:br/>
        <w:t>all-vacuum edge behavior</w:t>
      </w:r>
    </w:p>
    <w:p>
      <w:r>
        <w:t>Those results verify bounded executable properties of the demonstrator. They do not establish universal robustness across every future architecture, dtype, platform, or binding family.</w:t>
      </w:r>
    </w:p>
    <w:p>
      <w:pPr>
        <w:pStyle w:val="Heading1"/>
      </w:pPr>
      <w:r>
        <w:t>8. Low-Rank Block Compression</w:t>
      </w:r>
    </w:p>
    <w:p>
      <w:pPr>
        <w:pStyle w:val="Heading2"/>
      </w:pPr>
      <w:r>
        <w:t>8.1 Independent truncated SVD</w:t>
      </w:r>
    </w:p>
    <w:p>
      <w:r>
        <w:t>For block</w:t>
      </w:r>
    </w:p>
    <w:p>
      <w:pPr>
        <w:pStyle w:val="Equation"/>
        <w:jc w:val="center"/>
      </w:pPr>
      <w:r>
        <w:t>L_{t,s} \in \mathbb R^{q_t\times p_s}</w:t>
      </w:r>
    </w:p>
    <w:p>
      <w:r>
        <w:t>with singular-value decomposition</w:t>
      </w:r>
    </w:p>
    <w:p>
      <w:pPr>
        <w:pStyle w:val="Equation"/>
        <w:jc w:val="center"/>
      </w:pPr>
      <w:r>
        <w:t>L_{t,s} = U\Sigma V^T,</w:t>
      </w:r>
    </w:p>
    <w:p>
      <w:r>
        <w:t>let</w:t>
      </w:r>
    </w:p>
    <w:p>
      <w:pPr>
        <w:pStyle w:val="Equation"/>
        <w:jc w:val="center"/>
      </w:pPr>
      <w:r>
        <w:t>\widetilde L_{t,s}^{(r)} = U_r\Sigma_rV_r^T</w:t>
      </w:r>
    </w:p>
    <w:p>
      <w:r>
        <w:t>be the rank-\(r\) truncated SVD.</w:t>
      </w:r>
    </w:p>
    <w:p>
      <w:r>
        <w:t>By the Eckart-Young-Mirsky theorem, truncated SVD is an optimal rank-\(r\) approximation under the Frobenius norm and spectral norm.</w:t>
      </w:r>
    </w:p>
    <w:p>
      <w:r>
        <w:t>The Frobenius error is</w:t>
      </w:r>
    </w:p>
    <w:p>
      <w:pPr>
        <w:pStyle w:val="Equation"/>
        <w:jc w:val="center"/>
      </w:pPr>
      <w:r>
        <w:t>\|L_{t,s}-\widetilde L_{t,s}^{(r)}\|_F^2 = \sum_{j&gt;r}\sigma_j^2.</w:t>
      </w:r>
    </w:p>
    <w:p>
      <w:pPr>
        <w:pStyle w:val="Heading2"/>
      </w:pPr>
      <w:r>
        <w:t>8.2 Global block error identity</w:t>
      </w:r>
    </w:p>
    <w:p>
      <w:r>
        <w:t>Let \(\mathcal L\) be the full flattened block operator and \(\widetilde{\mathcal L}\) its independently compressed block approximation.</w:t>
      </w:r>
    </w:p>
    <w:p>
      <w:r>
        <w:t>Because the blocks occupy disjoint matrix regions,</w:t>
      </w:r>
    </w:p>
    <w:p>
      <w:pPr>
        <w:pStyle w:val="Equation"/>
        <w:jc w:val="center"/>
      </w:pPr>
      <w:r>
        <w:t>\boxed{ \|\mathcal L-\widetilde{\mathcal L}\|_F^2 = \sum_{t,s} \|L_{t,s}-\widetilde L_{t,s}\|_F^2 }.</w:t>
      </w:r>
    </w:p>
    <w:p>
      <w:r>
        <w:t>If each block uses rank \(r_{t,s}\),</w:t>
      </w:r>
    </w:p>
    <w:p>
      <w:pPr>
        <w:pStyle w:val="Equation"/>
        <w:jc w:val="center"/>
      </w:pPr>
      <w:r>
        <w:t>\|\mathcal L-\widetilde{\mathcal L}\|_F^2 = \sum_{t,s} \sum_{j&gt;r_{t,s}} \sigma_{t,s,j}^2.</w:t>
      </w:r>
    </w:p>
    <w:p>
      <w:r>
        <w:t>This is an exact accounting identity for the chosen blockwise approximation.</w:t>
      </w:r>
    </w:p>
    <w:p>
      <w:pPr>
        <w:pStyle w:val="Heading2"/>
      </w:pPr>
      <w:r>
        <w:t>8.3 Propagated state error</w:t>
      </w:r>
    </w:p>
    <w:p>
      <w:r>
        <w:t>Let</w:t>
      </w:r>
    </w:p>
    <w:p>
      <w:pPr>
        <w:pStyle w:val="Equation"/>
        <w:jc w:val="center"/>
      </w:pPr>
      <w:r>
        <w:t>E = \mathcal L-\widetilde{\mathcal L}.</w:t>
      </w:r>
    </w:p>
    <w:p>
      <w:r>
        <w:t>Then</w:t>
      </w:r>
    </w:p>
    <w:p>
      <w:pPr>
        <w:pStyle w:val="Equation"/>
        <w:jc w:val="center"/>
      </w:pPr>
      <w:r>
        <w:t>\mathcal Lx-\widetilde{\mathcal L}x = Ex</w:t>
      </w:r>
    </w:p>
    <w:p>
      <w:r>
        <w:t>and</w:t>
      </w:r>
    </w:p>
    <w:p>
      <w:pPr>
        <w:pStyle w:val="Equation"/>
        <w:jc w:val="center"/>
      </w:pPr>
      <w:r>
        <w:t>\|\mathcal Lx-\widetilde{\mathcal L}x\|_2 \le \|E\|_2\|x\|_2 \le \|E\|_F\|x\|_2.</w:t>
      </w:r>
    </w:p>
    <w:p>
      <w:r>
        <w:t>This converts operator approximation into a state-error upper bound.</w:t>
      </w:r>
    </w:p>
    <w:p>
      <w:r>
        <w:t>Domain-specific systems may prefer tighter empirical bounds over the actual admissible input region.</w:t>
      </w:r>
    </w:p>
    <w:p>
      <w:pPr>
        <w:pStyle w:val="Heading2"/>
      </w:pPr>
      <w:r>
        <w:t>8.4 Storage complexity</w:t>
      </w:r>
    </w:p>
    <w:p>
      <w:r>
        <w:t>An uncompressed dense block requires</w:t>
      </w:r>
    </w:p>
    <w:p>
      <w:pPr>
        <w:pStyle w:val="Equation"/>
        <w:jc w:val="center"/>
      </w:pPr>
      <w:r>
        <w:t>q_tp_s</w:t>
      </w:r>
    </w:p>
    <w:p>
      <w:r>
        <w:t>scalar parameters.</w:t>
      </w:r>
    </w:p>
    <w:p>
      <w:r>
        <w:t>A rank-\(r\) factorization using \(U_r,\Sigma_r,V_r\) requires approximately</w:t>
      </w:r>
    </w:p>
    <w:p>
      <w:pPr>
        <w:pStyle w:val="Equation"/>
        <w:jc w:val="center"/>
      </w:pPr>
      <w:r>
        <w:t>r(q_t+p_s+1)</w:t>
      </w:r>
    </w:p>
    <w:p>
      <w:r>
        <w:t>scalars.</w:t>
      </w:r>
    </w:p>
    <w:p>
      <w:r>
        <w:t>Compression is therefore storage-beneficial when</w:t>
      </w:r>
    </w:p>
    <w:p>
      <w:pPr>
        <w:pStyle w:val="Equation"/>
        <w:jc w:val="center"/>
      </w:pPr>
      <w:r>
        <w:t>r(q_t+p_s+1) &lt; q_tp_s.</w:t>
      </w:r>
    </w:p>
    <w:p>
      <w:r>
        <w:t>The corresponding multiply can be evaluated as</w:t>
      </w:r>
    </w:p>
    <w:p>
      <w:pPr>
        <w:pStyle w:val="Equation"/>
        <w:jc w:val="center"/>
      </w:pPr>
      <w:r>
        <w:t>L_{t,s}x_s \approx U_r \left[ \Sigma_r \left( V_r^Tx_s \right) \right].</w:t>
      </w:r>
    </w:p>
    <w:p>
      <w:r>
        <w:t>No performance advantage should be claimed without measuring the actual memory hierarchy, batch size, accelerator kernel behavior, and block dimensions.</w:t>
      </w:r>
    </w:p>
    <w:p>
      <w:pPr>
        <w:pStyle w:val="Heading2"/>
      </w:pPr>
      <w:r>
        <w:t>8.5 Semantic reason for blockwise compression</w:t>
      </w:r>
    </w:p>
    <w:p>
      <w:r>
        <w:t>The strongest HTLA-specific reason for blockwise compression is not that it always compresses better than a global factorization. It is that the approximation remains attached to the exact semantic relationship it approximates:</w:t>
      </w:r>
    </w:p>
    <w:p>
      <w:pPr>
        <w:pStyle w:val="CodeBlock"/>
        <w:shd w:fill="F3F6F8"/>
        <w:pBdr>
          <w:left w:val="single" w:sz="12" w:space="5" w:color="6C8EAD"/>
        </w:pBdr>
      </w:pPr>
      <w:r>
        <w:t>source label</w:t>
        <w:br/>
        <w:t>target label</w:t>
        <w:br/>
        <w:t>rank</w:t>
        <w:br/>
        <w:t>discarded singular energy</w:t>
        <w:br/>
        <w:t>error tolerance</w:t>
        <w:br/>
        <w:t>version</w:t>
      </w:r>
    </w:p>
    <w:p>
      <w:r>
        <w:t>Different mappings may therefore have different approximation budgets without erasing their label identities.</w:t>
      </w:r>
    </w:p>
    <w:p>
      <w:pPr>
        <w:pStyle w:val="Heading1"/>
      </w:pPr>
      <w:r>
        <w:t>9. Noise, Concentration, and Probabilistic Claims</w:t>
      </w:r>
    </w:p>
    <w:p>
      <w:pPr>
        <w:pStyle w:val="Heading2"/>
      </w:pPr>
      <w:r>
        <w:t>9.1 Why concentration belongs behind explicit assumptions</w:t>
      </w:r>
    </w:p>
    <w:p>
      <w:r>
        <w:t>HTLA is deterministic linear algebra unless a stochastic model is introduced. A concentration inequality is not automatically a property of a block operator.</w:t>
      </w:r>
    </w:p>
    <w:p>
      <w:r>
        <w:t>Any probabilistic statement must identify:</w:t>
      </w:r>
    </w:p>
    <w:p>
      <w:pPr>
        <w:pStyle w:val="CodeBlock"/>
        <w:shd w:fill="F3F6F8"/>
        <w:pBdr>
          <w:left w:val="single" w:sz="12" w:space="5" w:color="6C8EAD"/>
        </w:pBdr>
      </w:pPr>
      <w:r>
        <w:t>random variable</w:t>
        <w:br/>
        <w:t>independence assumptions</w:t>
        <w:br/>
        <w:t>centering assumptions</w:t>
        <w:br/>
        <w:t>tail class</w:t>
        <w:br/>
        <w:t>matrix/operator being conditioned on</w:t>
        <w:br/>
        <w:t>norm convention</w:t>
        <w:br/>
        <w:t>failure probability</w:t>
      </w:r>
    </w:p>
    <w:p>
      <w:pPr>
        <w:pStyle w:val="Heading2"/>
      </w:pPr>
      <w:r>
        <w:t>9.2 Standard Hanson-Wright form</w:t>
      </w:r>
    </w:p>
    <w:p>
      <w:r>
        <w:t>For an independent mean-zero sub-Gaussian random vector \(X\) with coordinate sub-Gaussian scale bounded by \(K\), the Hanson-Wright inequality has the form</w:t>
      </w:r>
    </w:p>
    <w:p>
      <w:pPr>
        <w:pStyle w:val="Equation"/>
        <w:jc w:val="center"/>
      </w:pPr>
      <w:r>
        <w:t>\Pr\left( \left| X^TAX-\mathbb E[X^TAX] \right|&gt;t \right) \le 2 \exp\left[ -c \min \left( \frac{t^2}{K^4\|A\|_F^2}, \frac{t}{K^2\|A\|_{\mathrm{op}}} \right) \right].</w:t>
      </w:r>
    </w:p>
    <w:p>
      <w:r>
        <w:t xml:space="preserve">The second branch is </w:t>
      </w:r>
      <w:r>
        <w:rPr>
          <w:b/>
        </w:rPr>
        <w:t>linear in \(t\)</w:t>
      </w:r>
      <w:r>
        <w:t>.</w:t>
      </w:r>
    </w:p>
    <w:p>
      <w:r>
        <w:t xml:space="preserve">A historical HTLA appendix used a purported generalized expression whose sub-Gaussian endpoint produced a quadratic operator-norm branch. That expression does not recover the standard theorem and is therefore </w:t>
      </w:r>
      <w:r>
        <w:rPr>
          <w:rFonts w:ascii="DejaVu Sans Mono" w:hAnsi="DejaVu Sans Mono"/>
          <w:sz w:val="18"/>
        </w:rPr>
        <w:t>HISTORICAL/SUPERSEDED</w:t>
      </w:r>
      <w:r>
        <w:t>.</w:t>
      </w:r>
    </w:p>
    <w:p>
      <w:pPr>
        <w:pStyle w:val="Heading2"/>
      </w:pPr>
      <w:r>
        <w:t>9.3 Heavy-tailed extensions</w:t>
      </w:r>
    </w:p>
    <w:p>
      <w:r>
        <w:t>Rigorous concentration results for \(\alpha\)-sub-exponential variables exist, including work by Götze, Sambale, and Sinulis. Those results involve theorem-specific assumptions and multi-level dependence on matrix norms.</w:t>
      </w:r>
    </w:p>
    <w:p>
      <w:r>
        <w:t>HTLA does not define a new generic heavy-tail Hanson-Wright formula.</w:t>
      </w:r>
    </w:p>
    <w:p>
      <w:r>
        <w:t>If future Nexus work requires a heavy-tailed noise model, it must instantiate an external theorem with matching assumptions or derive and prove a new result.</w:t>
      </w:r>
    </w:p>
    <w:p>
      <w:pPr>
        <w:pStyle w:val="Heading2"/>
      </w:pPr>
      <w:r>
        <w:t>9.4 Simple Gaussian injection example</w:t>
      </w:r>
    </w:p>
    <w:p>
      <w:r>
        <w:t>If a subsystem explicitly adds</w:t>
      </w:r>
    </w:p>
    <w:p>
      <w:pPr>
        <w:pStyle w:val="Equation"/>
        <w:jc w:val="center"/>
      </w:pPr>
      <w:r>
        <w:t>\widetilde y = y+\gamma\xi, \qquad \xi\sim\mathcal N(0,I_m),</w:t>
      </w:r>
    </w:p>
    <w:p>
      <w:r>
        <w:t>then</w:t>
      </w:r>
    </w:p>
    <w:p>
      <w:pPr>
        <w:pStyle w:val="Equation"/>
        <w:jc w:val="center"/>
      </w:pPr>
      <w:r>
        <w:t>\mathbb E \|\widetilde y-y\|_2^2 = \gamma^2m.</w:t>
      </w:r>
    </w:p>
    <w:p>
      <w:r>
        <w:t>By Jensen's inequality,</w:t>
      </w:r>
    </w:p>
    <w:p>
      <w:pPr>
        <w:pStyle w:val="Equation"/>
        <w:jc w:val="center"/>
      </w:pPr>
      <w:r>
        <w:t>\mathbb E \|\widetilde y-y\|_2 \le \gamma\sqrt m.</w:t>
      </w:r>
    </w:p>
    <w:p>
      <w:r>
        <w:t>This statement is model-specific and should not be generalized to arbitrary blockwise noise injection without recomputing the resulting covariance.</w:t>
      </w:r>
    </w:p>
    <w:p>
      <w:pPr>
        <w:pStyle w:val="Heading1"/>
      </w:pPr>
      <w:r>
        <w:t>10. HTLA / HTNLA Boundary</w:t>
      </w:r>
    </w:p>
    <w:p>
      <w:r>
        <w:t>HTLA is the linear layer.</w:t>
      </w:r>
    </w:p>
    <w:p>
      <w:r>
        <w:t>A typical nonlinear extension is</w:t>
      </w:r>
    </w:p>
    <w:p>
      <w:pPr>
        <w:pStyle w:val="Equation"/>
        <w:jc w:val="center"/>
      </w:pPr>
      <w:r>
        <w:t>z_t = b_t + \sum_s W_{t,s}x_s + r_t,</w:t>
      </w:r>
    </w:p>
    <w:p>
      <w:r>
        <w:t>followed by</w:t>
      </w:r>
    </w:p>
    <w:p>
      <w:pPr>
        <w:pStyle w:val="Equation"/>
        <w:jc w:val="center"/>
      </w:pPr>
      <w:r>
        <w:t>y_t = \phi_t(z_t).</w:t>
      </w:r>
    </w:p>
    <w:p>
      <w:r>
        <w:t>Competition such as k-WTA may then act on the resulting component.</w:t>
      </w:r>
    </w:p>
    <w:p>
      <w:r>
        <w:t>The moment a nonlinear \(\phi_t\) is introduced, the transformation no longer belongs to the pure HTLA calculus.</w:t>
      </w:r>
    </w:p>
    <w:p>
      <w:pPr>
        <w:pStyle w:val="Heading2"/>
      </w:pPr>
      <w:r>
        <w:t>10.1 Nonlinearity and invertibility</w:t>
      </w:r>
    </w:p>
    <w:p>
      <w:r>
        <w:t>It is too crude to state that "nonlinearity destroys invertibility."</w:t>
      </w:r>
    </w:p>
    <w:p>
      <w:r>
        <w:t xml:space="preserve">Some nonlinear functions are injective on their domains. For example, </w:t>
      </w:r>
      <w:r>
        <w:rPr>
          <w:rFonts w:ascii="DejaVu Sans Mono" w:hAnsi="DejaVu Sans Mono"/>
          <w:sz w:val="18"/>
        </w:rPr>
        <w:t>tanh</w:t>
      </w:r>
      <w:r>
        <w:t xml:space="preserve"> is mathematically one-to-one from \(\mathbb R\) onto \((-1,1)\).</w:t>
      </w:r>
    </w:p>
    <w:p>
      <w:r>
        <w:t>However, invertibility of an entire nonlinear Nexus transformation can still fail because of:</w:t>
      </w:r>
    </w:p>
    <w:p>
      <w:pPr>
        <w:pStyle w:val="CodeBlock"/>
        <w:shd w:fill="F3F6F8"/>
        <w:pBdr>
          <w:left w:val="single" w:sz="12" w:space="5" w:color="6C8EAD"/>
        </w:pBdr>
      </w:pPr>
      <w:r>
        <w:t>non-injective activation</w:t>
        <w:br/>
        <w:t>clipping or quantization</w:t>
        <w:br/>
        <w:t>saturation and severe numerical conditioning</w:t>
        <w:br/>
        <w:t>k-WTA or thresholding</w:t>
        <w:br/>
        <w:t>unknown or discarded bias/gate state</w:t>
        <w:br/>
        <w:t>dimension reduction</w:t>
        <w:br/>
        <w:t>information-losing binding</w:t>
        <w:br/>
        <w:t>projection into an admissible subset</w:t>
      </w:r>
    </w:p>
    <w:p>
      <w:r>
        <w:t>The correct statement is therefore:</w:t>
      </w:r>
    </w:p>
    <w:p>
      <w:pPr>
        <w:ind w:left="432" w:right="288"/>
        <w:shd w:fill="EEF3F7"/>
        <w:pBdr>
          <w:left w:val="single" w:sz="12" w:space="5" w:color="6C8EAD"/>
        </w:pBdr>
      </w:pPr>
      <w:r>
        <w:t>Exact inversion is available only when the complete composed transformation is injective on the relevant domain and all information required by the inverse has been retained.</w:t>
      </w:r>
    </w:p>
    <w:p>
      <w:r>
        <w:t>The current quinary binding is explicitly not injective, so the four-state partial-unbind contract remains necessary regardless of whether some other nonlinear component is invertible.</w:t>
      </w:r>
    </w:p>
    <w:p>
      <w:pPr>
        <w:pStyle w:val="Heading2"/>
      </w:pPr>
      <w:r>
        <w:t>10.2 k-WTA and complexity</w:t>
      </w:r>
    </w:p>
    <w:p>
      <w:r>
        <w:t>A fixed retention fraction does not change the asymptotic complexity class of multiplying a dense \(D\times D\) matrix by a vector.</w:t>
      </w:r>
    </w:p>
    <w:p>
      <w:r>
        <w:t>If k-WTA retains</w:t>
      </w:r>
    </w:p>
    <w:p>
      <w:pPr>
        <w:pStyle w:val="Equation"/>
        <w:jc w:val="center"/>
      </w:pPr>
      <w:r>
        <w:t>k=\rho D</w:t>
      </w:r>
    </w:p>
    <w:p>
      <w:r>
        <w:t>coordinates for constant \(\rho\), then a naive dense-row evaluation against the sparse vector costs on the order of</w:t>
      </w:r>
    </w:p>
    <w:p>
      <w:pPr>
        <w:pStyle w:val="Equation"/>
        <w:jc w:val="center"/>
      </w:pPr>
      <w:r>
        <w:t>O(Dk) = O(\rho D^2) = O(D^2).</w:t>
      </w:r>
    </w:p>
    <w:p>
      <w:r>
        <w:t>The constant factor may improve. The asymptotic class does not.</w:t>
      </w:r>
    </w:p>
    <w:p>
      <w:r>
        <w:t>Real complexity reductions can come from other structure, including:</w:t>
      </w:r>
    </w:p>
    <w:p>
      <w:pPr>
        <w:pStyle w:val="CodeBlock"/>
        <w:shd w:fill="F3F6F8"/>
        <w:pBdr>
          <w:left w:val="single" w:sz="12" w:space="5" w:color="6C8EAD"/>
        </w:pBdr>
      </w:pPr>
      <w:r>
        <w:t>FFT-based convolution</w:t>
        <w:br/>
        <w:t>structural block sparsity</w:t>
        <w:br/>
        <w:t>bounded-degree coupling graphs</w:t>
        <w:br/>
        <w:t>low-rank factors</w:t>
        <w:br/>
        <w:t>specialized sparse kernels</w:t>
        <w:br/>
        <w:t>hierarchical or approximate routing</w:t>
      </w:r>
    </w:p>
    <w:p>
      <w:r>
        <w:t>Any claim of \(O(D\log D)\), \(O(\log|L|)\), or another class reduction must identify the mechanism that produces it.</w:t>
      </w:r>
    </w:p>
    <w:p>
      <w:pPr>
        <w:pStyle w:val="Heading1"/>
      </w:pPr>
      <w:r>
        <w:t>11. Reference Implementation Contract</w:t>
      </w:r>
    </w:p>
    <w:p>
      <w:pPr>
        <w:pStyle w:val="Heading2"/>
      </w:pPr>
      <w:r>
        <w:t>11.1 Requirements</w:t>
      </w:r>
    </w:p>
    <w:p>
      <w:r>
        <w:t>A minimally conforming block implementation should:</w:t>
      </w:r>
    </w:p>
    <w:p>
      <w:pPr>
        <w:pStyle w:val="ListNumber"/>
      </w:pPr>
      <w:r>
        <w:t>preserve ordered source labels;</w:t>
      </w:r>
    </w:p>
    <w:p>
      <w:pPr>
        <w:pStyle w:val="ListNumber"/>
      </w:pPr>
      <w:r>
        <w:t>preserve ordered target labels;</w:t>
      </w:r>
    </w:p>
    <w:p>
      <w:pPr>
        <w:pStyle w:val="ListNumber"/>
      </w:pPr>
      <w:r>
        <w:t>validate per-label dimensions;</w:t>
      </w:r>
    </w:p>
    <w:p>
      <w:pPr>
        <w:pStyle w:val="ListNumber"/>
      </w:pPr>
      <w:r>
        <w:t>reject inconsistent block shapes;</w:t>
      </w:r>
    </w:p>
    <w:p>
      <w:pPr>
        <w:pStyle w:val="ListNumber"/>
      </w:pPr>
      <w:r>
        <w:t>treat absent configured blocks as zero only when the operator contract says they are absent;</w:t>
      </w:r>
    </w:p>
    <w:p>
      <w:pPr>
        <w:pStyle w:val="ListNumber"/>
      </w:pPr>
      <w:r>
        <w:t>retain missingness separately from numerical zero;</w:t>
      </w:r>
    </w:p>
    <w:p>
      <w:pPr>
        <w:pStyle w:val="ListNumber"/>
      </w:pPr>
      <w:r>
        <w:t>flatten using declared ordering, never unordered set iteration;</w:t>
      </w:r>
    </w:p>
    <w:p>
      <w:pPr>
        <w:pStyle w:val="ListNumber"/>
      </w:pPr>
      <w:r>
        <w:t>reverse source/target roles for inverse-shaped operators;</w:t>
      </w:r>
    </w:p>
    <w:p>
      <w:pPr>
        <w:pStyle w:val="ListNumber"/>
      </w:pPr>
      <w:r>
        <w:t>expose regularization parameters;</w:t>
      </w:r>
    </w:p>
    <w:p>
      <w:pPr>
        <w:pStyle w:val="ListNumber"/>
      </w:pPr>
      <w:r>
        <w:t>retain transform provenance and schema version in production code.</w:t>
      </w:r>
    </w:p>
    <w:p>
      <w:pPr>
        <w:pStyle w:val="Heading2"/>
      </w:pPr>
      <w:r>
        <w:t>11.2 Corrected numerical example</w:t>
      </w:r>
    </w:p>
    <w:p>
      <w:r>
        <w:t>Consider</w:t>
      </w:r>
    </w:p>
    <w:p>
      <w:pPr>
        <w:pStyle w:val="Equation"/>
        <w:jc w:val="center"/>
      </w:pPr>
      <w:r>
        <w:t>M = \begin{bmatrix} 1&amp;0&amp;2\\ 0&amp;1&amp;1\\ 1&amp;1&amp;0 \end{bmatrix}, \qquad b = \begin{bmatrix} 4\\3\\2 \end{bmatrix}, \qquad \lambda=0.1.</w:t>
      </w:r>
    </w:p>
    <w:p>
      <w:r>
        <w:t>Using</w:t>
      </w:r>
    </w:p>
    <w:p>
      <w:pPr>
        <w:pStyle w:val="Equation"/>
        <w:jc w:val="center"/>
      </w:pPr>
      <w:r>
        <w:t>M_\lambda^+ = V \operatorname{diag} \left( \frac{\sigma_i}{\sigma_i^2+\lambda} \right) U^T,</w:t>
      </w:r>
    </w:p>
    <w:p>
      <w:r>
        <w:t>the executed singular values are</w:t>
      </w:r>
    </w:p>
    <w:p>
      <w:pPr>
        <w:pStyle w:val="Equation"/>
        <w:jc w:val="center"/>
      </w:pPr>
      <w:r>
        <w:t>\sigma(M) \approx [2.53208889,\;1.34729636,\;0.87938524].</w:t>
      </w:r>
    </w:p>
    <w:p>
      <w:r>
        <w:t>The executed regularized solution is</w:t>
      </w:r>
    </w:p>
    <w:p>
      <w:pPr>
        <w:pStyle w:val="Equation"/>
        <w:jc w:val="center"/>
      </w:pPr>
      <w:r>
        <w:t>\boxed{ h_\lambda \approx [0.69415113,\;1.27169222,\;1.63529520]^T }</w:t>
      </w:r>
    </w:p>
    <w:p>
      <w:r>
        <w:t>with residual</w:t>
      </w:r>
    </w:p>
    <w:p>
      <w:pPr>
        <w:pStyle w:val="Equation"/>
        <w:jc w:val="center"/>
      </w:pPr>
      <w:r>
        <w:t>\boxed{ \|Mh_\lambda-b\|_2 \approx 0.1051721250. }</w:t>
      </w:r>
    </w:p>
    <w:p>
      <w:r>
        <w:t>The historical values</w:t>
      </w:r>
    </w:p>
    <w:p>
      <w:pPr>
        <w:pStyle w:val="Equation"/>
        <w:jc w:val="center"/>
      </w:pPr>
      <w:r>
        <w:t>[0.86,\;1.14,\;1.57]^T</w:t>
      </w:r>
    </w:p>
    <w:p>
      <w:r>
        <w:t>and residual \(0.38\) do not follow from the stated formula and are retired.</w:t>
      </w:r>
    </w:p>
    <w:p>
      <w:pPr>
        <w:pStyle w:val="Heading2"/>
      </w:pPr>
      <w:r>
        <w:t>11.3 Why a labeled pseudoinverse must reverse direction</w:t>
      </w:r>
    </w:p>
    <w:p>
      <w:r>
        <w:t>Suppose</w:t>
      </w:r>
    </w:p>
    <w:p>
      <w:pPr>
        <w:pStyle w:val="Equation"/>
        <w:jc w:val="center"/>
      </w:pPr>
      <w:r>
        <w:t>\mathcal L: \mathcal H_S \rightarrow \mathcal H_T.</w:t>
      </w:r>
    </w:p>
    <w:p>
      <w:r>
        <w:t>Then an inverse-shaped map must have type</w:t>
      </w:r>
    </w:p>
    <w:p>
      <w:pPr>
        <w:pStyle w:val="Equation"/>
        <w:jc w:val="center"/>
      </w:pPr>
      <w:r>
        <w:t>\mathcal L^+: \mathcal H_T \rightarrow \mathcal H_S.</w:t>
      </w:r>
    </w:p>
    <w:p>
      <w:r>
        <w:t>Therefore:</w:t>
      </w:r>
    </w:p>
    <w:p>
      <w:pPr>
        <w:pStyle w:val="CodeBlock"/>
        <w:shd w:fill="F3F6F8"/>
        <w:pBdr>
          <w:left w:val="single" w:sz="12" w:space="5" w:color="6C8EAD"/>
        </w:pBdr>
      </w:pPr>
      <w:r>
        <w:t>inverse source labels = original target labels</w:t>
        <w:br/>
        <w:t>inverse target labels = original source labels</w:t>
      </w:r>
    </w:p>
    <w:p>
      <w:r>
        <w:t>This variance reversal is not optional metadata. It is the type of the map.</w:t>
      </w:r>
    </w:p>
    <w:p>
      <w:r>
        <w:t>The historical reference implementation computed pseudoinverse numbers but retained the original source/target label roles. The resulting matrix looked plausible but failed as soon as the returned operator was applied to a target-shaped hypervector.</w:t>
      </w:r>
    </w:p>
    <w:p>
      <w:pPr>
        <w:pStyle w:val="Heading2"/>
      </w:pPr>
      <w:r>
        <w:t>11.4 Executed reference class</w:t>
      </w:r>
    </w:p>
    <w:p>
      <w:r>
        <w:t>The following compact implementation was executed for this rewrite. It uses explicit ordered labels and reconstructs the inverse block layout with source/target roles exchanged.</w:t>
      </w:r>
    </w:p>
    <w:p>
      <w:pPr>
        <w:pStyle w:val="CodeBlock"/>
        <w:shd w:fill="F3F6F8"/>
        <w:pBdr>
          <w:left w:val="single" w:sz="12" w:space="5" w:color="6C8EAD"/>
        </w:pBdr>
      </w:pPr>
      <w:r>
        <w:t>import numpy as np</w:t>
        <w:br/>
        <w:t>from dataclasses import dataclass</w:t>
        <w:br/>
        <w:br/>
        <w:t>@dataclass(frozen=True)</w:t>
        <w:br/>
        <w:t>class HyperVector:</w:t>
        <w:br/>
        <w:t xml:space="preserve">    components: dict[str, np.ndarray]</w:t>
        <w:br/>
        <w:br/>
        <w:t>class BlockOperator:</w:t>
        <w:br/>
        <w:t xml:space="preserve">    def __init__(</w:t>
        <w:br/>
        <w:t xml:space="preserve">        self,</w:t>
        <w:br/>
        <w:t xml:space="preserve">        blocks,</w:t>
        <w:br/>
        <w:t xml:space="preserve">        target_labels,</w:t>
        <w:br/>
        <w:t xml:space="preserve">        source_labels,</w:t>
        <w:br/>
        <w:t xml:space="preserve">    ):</w:t>
        <w:br/>
        <w:t xml:space="preserve">        self.blocks = blocks</w:t>
        <w:br/>
        <w:t xml:space="preserve">        self.target_labels = list(target_labels)</w:t>
        <w:br/>
        <w:t xml:space="preserve">        self.source_labels = list(source_labels)</w:t>
        <w:br/>
        <w:br/>
        <w:t xml:space="preserve">        self.target_dims = {}</w:t>
        <w:br/>
        <w:t xml:space="preserve">        for t in self.target_labels:</w:t>
        <w:br/>
        <w:t xml:space="preserve">            dims = {</w:t>
        <w:br/>
        <w:t xml:space="preserve">                block.shape[0]</w:t>
        <w:br/>
        <w:t xml:space="preserve">                for block in self.blocks.get(t, {}).values()</w:t>
        <w:br/>
        <w:t xml:space="preserve">            }</w:t>
        <w:br/>
        <w:t xml:space="preserve">            if len(dims) != 1:</w:t>
        <w:br/>
        <w:t xml:space="preserve">                raise ValueError(f"inconsistent target dimension: {t}")</w:t>
        <w:br/>
        <w:t xml:space="preserve">            self.target_dims[t] = next(iter(dims))</w:t>
        <w:br/>
        <w:br/>
        <w:t xml:space="preserve">        self.source_dims = {}</w:t>
        <w:br/>
        <w:t xml:space="preserve">        for s in self.source_labels:</w:t>
        <w:br/>
        <w:t xml:space="preserve">            dims = {</w:t>
        <w:br/>
        <w:t xml:space="preserve">                self.blocks[t][s].shape[1]</w:t>
        <w:br/>
        <w:t xml:space="preserve">                for t in self.target_labels</w:t>
        <w:br/>
        <w:t xml:space="preserve">                if s in self.blocks.get(t, {})</w:t>
        <w:br/>
        <w:t xml:space="preserve">            }</w:t>
        <w:br/>
        <w:t xml:space="preserve">            if len(dims) != 1:</w:t>
        <w:br/>
        <w:t xml:space="preserve">                raise ValueError(f"inconsistent source dimension: {s}")</w:t>
        <w:br/>
        <w:t xml:space="preserve">            self.source_dims[s] = next(iter(dims))</w:t>
        <w:br/>
        <w:br/>
        <w:t xml:space="preserve">    @staticmethod</w:t>
        <w:br/>
        <w:t xml:space="preserve">    def _offsets(labels, dims):</w:t>
        <w:br/>
        <w:t xml:space="preserve">        result = {}</w:t>
        <w:br/>
        <w:t xml:space="preserve">        offset = 0</w:t>
        <w:br/>
        <w:t xml:space="preserve">        for label in labels:</w:t>
        <w:br/>
        <w:t xml:space="preserve">            result[label] = (offset, offset + dims[label])</w:t>
        <w:br/>
        <w:t xml:space="preserve">            offset += dims[label]</w:t>
        <w:br/>
        <w:t xml:space="preserve">        return result, offset</w:t>
        <w:br/>
        <w:br/>
        <w:t xml:space="preserve">    def dense(self):</w:t>
        <w:br/>
        <w:t xml:space="preserve">        rows, nr = self._offsets(</w:t>
        <w:br/>
        <w:t xml:space="preserve">            self.target_labels,</w:t>
        <w:br/>
        <w:t xml:space="preserve">            self.target_dims,</w:t>
        <w:br/>
        <w:t xml:space="preserve">        )</w:t>
        <w:br/>
        <w:t xml:space="preserve">        cols, nc = self._offsets(</w:t>
        <w:br/>
        <w:t xml:space="preserve">            self.source_labels,</w:t>
        <w:br/>
        <w:t xml:space="preserve">            self.source_dims,</w:t>
        <w:br/>
        <w:t xml:space="preserve">        )</w:t>
        <w:br/>
        <w:br/>
        <w:t xml:space="preserve">        A = np.zeros((nr, nc))</w:t>
        <w:br/>
        <w:br/>
        <w:t xml:space="preserve">        for t in self.target_labels:</w:t>
        <w:br/>
        <w:t xml:space="preserve">            r0, r1 = rows[t]</w:t>
        <w:br/>
        <w:t xml:space="preserve">            for s in self.source_labels:</w:t>
        <w:br/>
        <w:t xml:space="preserve">                block = self.blocks.get(t, {}).get(s)</w:t>
        <w:br/>
        <w:t xml:space="preserve">                if block is None:</w:t>
        <w:br/>
        <w:t xml:space="preserve">                    continue</w:t>
        <w:br/>
        <w:t xml:space="preserve">                c0, c1 = cols[s]</w:t>
        <w:br/>
        <w:t xml:space="preserve">                A[r0:r1, c0:c1] = block</w:t>
        <w:br/>
        <w:br/>
        <w:t xml:space="preserve">        return A</w:t>
        <w:br/>
        <w:br/>
        <w:t xml:space="preserve">    def pseudoinverse(self, regularization=0.0):</w:t>
        <w:br/>
        <w:t xml:space="preserve">        A = self.dense()</w:t>
        <w:br/>
        <w:t xml:space="preserve">        U, sigma, Vt = np.linalg.svd(</w:t>
        <w:br/>
        <w:t xml:space="preserve">            A,</w:t>
        <w:br/>
        <w:t xml:space="preserve">            full_matrices=False,</w:t>
        <w:br/>
        <w:t xml:space="preserve">        )</w:t>
        <w:br/>
        <w:br/>
        <w:t xml:space="preserve">        filt = sigma / (sigma**2 + regularization)</w:t>
        <w:br/>
        <w:t xml:space="preserve">        A_plus = Vt.T @ np.diag(filt) @ U.T</w:t>
        <w:br/>
        <w:br/>
        <w:t xml:space="preserve">        old_rows, _ = self._offsets(</w:t>
        <w:br/>
        <w:t xml:space="preserve">            self.target_labels,</w:t>
        <w:br/>
        <w:t xml:space="preserve">            self.target_dims,</w:t>
        <w:br/>
        <w:t xml:space="preserve">        )</w:t>
        <w:br/>
        <w:t xml:space="preserve">        old_cols, _ = self._offsets(</w:t>
        <w:br/>
        <w:t xml:space="preserve">            self.source_labels,</w:t>
        <w:br/>
        <w:t xml:space="preserve">            self.source_dims,</w:t>
        <w:br/>
        <w:t xml:space="preserve">        )</w:t>
        <w:br/>
        <w:br/>
        <w:t xml:space="preserve">        inverse_blocks = {}</w:t>
        <w:br/>
        <w:br/>
        <w:t xml:space="preserve">        # New target = old source.</w:t>
        <w:br/>
        <w:t xml:space="preserve">        for old_source in self.source_labels:</w:t>
        <w:br/>
        <w:t xml:space="preserve">            c0, c1 = old_cols[old_source]</w:t>
        <w:br/>
        <w:t xml:space="preserve">            inverse_blocks[old_source] = {}</w:t>
        <w:br/>
        <w:br/>
        <w:t xml:space="preserve">            # New source = old target.</w:t>
        <w:br/>
        <w:t xml:space="preserve">            for old_target in self.target_labels:</w:t>
        <w:br/>
        <w:t xml:space="preserve">                r0, r1 = old_rows[old_target]</w:t>
        <w:br/>
        <w:t xml:space="preserve">                inverse_blocks[old_source][old_target] = (</w:t>
        <w:br/>
        <w:t xml:space="preserve">                    A_plus[c0:c1, r0:r1]</w:t>
        <w:br/>
        <w:t xml:space="preserve">                )</w:t>
        <w:br/>
        <w:br/>
        <w:t xml:space="preserve">        return BlockOperator(</w:t>
        <w:br/>
        <w:t xml:space="preserve">            inverse_blocks,</w:t>
        <w:br/>
        <w:t xml:space="preserve">            target_labels=self.source_labels,</w:t>
        <w:br/>
        <w:t xml:space="preserve">            source_labels=self.target_labels,</w:t>
        <w:br/>
        <w:t xml:space="preserve">        )</w:t>
        <w:br/>
        <w:br/>
        <w:t xml:space="preserve">    def apply(self, hv):</w:t>
        <w:br/>
        <w:t xml:space="preserve">        result = {}</w:t>
        <w:br/>
        <w:br/>
        <w:t xml:space="preserve">        for t in self.target_labels:</w:t>
        <w:br/>
        <w:t xml:space="preserve">            y = np.zeros(self.target_dims[t])</w:t>
        <w:br/>
        <w:br/>
        <w:t xml:space="preserve">            for s, block in self.blocks.get(t, {}).items():</w:t>
        <w:br/>
        <w:t xml:space="preserve">                y += block @ hv.components[s]</w:t>
        <w:br/>
        <w:br/>
        <w:t xml:space="preserve">            result[t] = y</w:t>
        <w:br/>
        <w:br/>
        <w:t xml:space="preserve">        return HyperVector(result)</w:t>
      </w:r>
    </w:p>
    <w:p>
      <w:r>
        <w:t>For the test operator with original type</w:t>
      </w:r>
    </w:p>
    <w:p>
      <w:pPr>
        <w:pStyle w:val="CodeBlock"/>
        <w:shd w:fill="F3F6F8"/>
        <w:pBdr>
          <w:left w:val="single" w:sz="12" w:space="5" w:color="6C8EAD"/>
        </w:pBdr>
      </w:pPr>
      <w:r>
        <w:t>in:R^3 -&gt; {out1:R^2, out2:R^1}</w:t>
      </w:r>
    </w:p>
    <w:p>
      <w:r>
        <w:t>the returned regularized pseudoinverse has type</w:t>
      </w:r>
    </w:p>
    <w:p>
      <w:pPr>
        <w:pStyle w:val="CodeBlock"/>
        <w:shd w:fill="F3F6F8"/>
        <w:pBdr>
          <w:left w:val="single" w:sz="12" w:space="5" w:color="6C8EAD"/>
        </w:pBdr>
      </w:pPr>
      <w:r>
        <w:t>{out1:R^2, out2:R^1} -&gt; in:R^3</w:t>
      </w:r>
    </w:p>
    <w:p>
      <w:r>
        <w:t>and reproduces the executed solution and residual above.</w:t>
      </w:r>
    </w:p>
    <w:p>
      <w:pPr>
        <w:pStyle w:val="Heading2"/>
      </w:pPr>
      <w:r>
        <w:t>11.5 Verification limits</w:t>
      </w:r>
    </w:p>
    <w:p>
      <w:r>
        <w:t>The executed example verifies one concrete correction. Production verification should additionally cover:</w:t>
      </w:r>
    </w:p>
    <w:p>
      <w:pPr>
        <w:pStyle w:val="CodeBlock"/>
        <w:shd w:fill="F3F6F8"/>
        <w:pBdr>
          <w:left w:val="single" w:sz="12" w:space="5" w:color="6C8EAD"/>
        </w:pBdr>
      </w:pPr>
      <w:r>
        <w:t>rectangular operators</w:t>
        <w:br/>
        <w:t>rank-deficient operators</w:t>
        <w:br/>
        <w:t>zero singular values</w:t>
        <w:br/>
        <w:t>regularization = 0</w:t>
        <w:br/>
        <w:t>regularization &gt; 0</w:t>
        <w:br/>
        <w:t>different source/target label orders</w:t>
        <w:br/>
        <w:t>multiple source labels</w:t>
        <w:br/>
        <w:t>multiple target labels</w:t>
        <w:br/>
        <w:t>configured zero blocks</w:t>
        <w:br/>
        <w:t>malformed block shapes</w:t>
        <w:br/>
        <w:t>schema mismatch</w:t>
        <w:br/>
        <w:t>dense &lt;-&gt; block round trip</w:t>
        <w:br/>
        <w:t>float32 / float64 behavior</w:t>
        <w:br/>
        <w:t>deterministic serialization</w:t>
      </w:r>
    </w:p>
    <w:p>
      <w:r>
        <w:t>Passing one worked example does not establish correctness for every malformed or adversarial layout.</w:t>
      </w:r>
    </w:p>
    <w:p>
      <w:pPr>
        <w:pStyle w:val="Heading1"/>
      </w:pPr>
      <w:r>
        <w:t>12. Complexity and Scalability</w:t>
      </w:r>
    </w:p>
    <w:p>
      <w:pPr>
        <w:pStyle w:val="Heading2"/>
      </w:pPr>
      <w:r>
        <w:t>12.1 Dense block cost</w:t>
      </w:r>
    </w:p>
    <w:p>
      <w:r>
        <w:t>For a block</w:t>
      </w:r>
    </w:p>
    <w:p>
      <w:pPr>
        <w:pStyle w:val="Equation"/>
        <w:jc w:val="center"/>
      </w:pPr>
      <w:r>
        <w:t>L_{t,s}\in\mathbb R^{q_t\times p_s},</w:t>
      </w:r>
    </w:p>
    <w:p>
      <w:r>
        <w:t>dense application costs</w:t>
      </w:r>
    </w:p>
    <w:p>
      <w:pPr>
        <w:pStyle w:val="Equation"/>
        <w:jc w:val="center"/>
      </w:pPr>
      <w:r>
        <w:t>O(q_tp_s)</w:t>
      </w:r>
    </w:p>
    <w:p>
      <w:r>
        <w:t>scalar multiply-add operations in the ordinary model.</w:t>
      </w:r>
    </w:p>
    <w:p>
      <w:r>
        <w:t>For a coupling graph \(G\subseteq T\times S\), a full block-sparse operator costs approximately</w:t>
      </w:r>
    </w:p>
    <w:p>
      <w:pPr>
        <w:pStyle w:val="Equation"/>
        <w:jc w:val="center"/>
      </w:pPr>
      <w:r>
        <w:t>O\left( \sum_{(t,s)\in G} q_tp_s \right).</w:t>
      </w:r>
    </w:p>
    <w:p>
      <w:r>
        <w:t>This is the relevant structural complexity expression.</w:t>
      </w:r>
    </w:p>
    <w:p>
      <w:pPr>
        <w:pStyle w:val="Heading2"/>
      </w:pPr>
      <w:r>
        <w:t>12.2 When label sparsity changes asymptotics</w:t>
      </w:r>
    </w:p>
    <w:p>
      <w:r>
        <w:t>If every possible pair of \(m\) labels is coupled and block sizes remain comparable, the number of blocks may scale as</w:t>
      </w:r>
    </w:p>
    <w:p>
      <w:pPr>
        <w:pStyle w:val="Equation"/>
        <w:jc w:val="center"/>
      </w:pPr>
      <w:r>
        <w:t>O(m^2).</w:t>
      </w:r>
    </w:p>
    <w:p>
      <w:r>
        <w:t>If a semantic coupling graph has bounded degree,</w:t>
      </w:r>
    </w:p>
    <w:p>
      <w:pPr>
        <w:pStyle w:val="Equation"/>
        <w:jc w:val="center"/>
      </w:pPr>
      <w:r>
        <w:t>|E(G)|=O(m),</w:t>
      </w:r>
    </w:p>
    <w:p>
      <w:r>
        <w:t>then the number of active blocks scales linearly in label count.</w:t>
      </w:r>
    </w:p>
    <w:p>
      <w:r>
        <w:t xml:space="preserve">That is a real complexity-class change caused by </w:t>
      </w:r>
      <w:r>
        <w:rPr>
          <w:b/>
        </w:rPr>
        <w:t>structural block sparsity</w:t>
      </w:r>
      <w:r>
        <w:t>.</w:t>
      </w:r>
    </w:p>
    <w:p>
      <w:r>
        <w:t>It is different from keeping a fixed fraction of coordinates inside every dense block.</w:t>
      </w:r>
    </w:p>
    <w:p>
      <w:pPr>
        <w:pStyle w:val="Heading2"/>
      </w:pPr>
      <w:r>
        <w:t>12.3 The historical \(O(\log|L|)\) claim</w:t>
      </w:r>
    </w:p>
    <w:p>
      <w:r>
        <w:t>No general theorem establishes that HTLA gradient computation scales as</w:t>
      </w:r>
    </w:p>
    <w:p>
      <w:pPr>
        <w:pStyle w:val="Equation"/>
        <w:jc w:val="center"/>
      </w:pPr>
      <w:r>
        <w:t>O(\log|L|).</w:t>
      </w:r>
    </w:p>
    <w:p>
      <w:r>
        <w:t>That historical claim is not part of the core calculus.</w:t>
      </w:r>
    </w:p>
    <w:p>
      <w:r>
        <w:t>Sparse mixture-of-experts research demonstrates a related but weaker principle: conditional activation can make per-example computation depend on the active subset rather than total stored model capacity. Hierarchical routing can, under particular data structures and access assumptions, produce logarithmic routing depth. Neither result implies a universal logarithmic HTLA backward pass.</w:t>
      </w:r>
    </w:p>
    <w:p>
      <w:r>
        <w:t>If retained, the HTLA statement is:</w:t>
      </w:r>
    </w:p>
    <w:p>
      <w:pPr>
        <w:ind w:left="432" w:right="288"/>
        <w:shd w:fill="EEF3F7"/>
        <w:pBdr>
          <w:left w:val="single" w:sz="12" w:space="5" w:color="6C8EAD"/>
        </w:pBdr>
      </w:pPr>
      <w:r>
        <w:rPr>
          <w:b/>
        </w:rPr>
        <w:t>RESEARCH HYPOTHESIS.</w:t>
      </w:r>
      <w:r>
        <w:t xml:space="preserve"> Under a declared hierarchical routing structure, bounded active coupling degree, bounded block dimensions, and a routing implementation whose lookup cost is \(O(\log|L|)\), the per-example cost attributable to label routing and active-block evaluation may scale logarithmically in total label cardinality. End-to-end gradient complexity must include router scoring, communication, normalization, globally coupled losses, and backward propagation.</w:t>
      </w:r>
    </w:p>
    <w:p>
      <w:pPr>
        <w:pStyle w:val="Heading2"/>
      </w:pPr>
      <w:r>
        <w:t>12.4 Falsification protocol</w:t>
      </w:r>
    </w:p>
    <w:p>
      <w:r>
        <w:t>A valid experiment should vary \(|L|\) geometrically while fixing or reporting:</w:t>
      </w:r>
    </w:p>
    <w:p>
      <w:pPr>
        <w:pStyle w:val="CodeBlock"/>
        <w:shd w:fill="F3F6F8"/>
        <w:pBdr>
          <w:left w:val="single" w:sz="12" w:space="5" w:color="6C8EAD"/>
        </w:pBdr>
      </w:pPr>
      <w:r>
        <w:t>block dimensions</w:t>
        <w:br/>
        <w:t>active blocks per example</w:t>
        <w:br/>
        <w:t>coupling graph degree</w:t>
        <w:br/>
        <w:t>routing algorithm</w:t>
        <w:br/>
        <w:t>batch size</w:t>
        <w:br/>
        <w:t>optimizer</w:t>
        <w:br/>
        <w:t>dtype</w:t>
        <w:br/>
        <w:t>hardware</w:t>
        <w:br/>
        <w:t>communication topology</w:t>
        <w:br/>
        <w:t>compiler/kernel versions</w:t>
      </w:r>
    </w:p>
    <w:p>
      <w:r>
        <w:t>Measure separately:</w:t>
      </w:r>
    </w:p>
    <w:p>
      <w:pPr>
        <w:pStyle w:val="CodeBlock"/>
        <w:shd w:fill="F3F6F8"/>
        <w:pBdr>
          <w:left w:val="single" w:sz="12" w:space="5" w:color="6C8EAD"/>
        </w:pBdr>
      </w:pPr>
      <w:r>
        <w:t>router time</w:t>
        <w:br/>
        <w:t>forward active-block time</w:t>
        <w:br/>
        <w:t>backward active-block time</w:t>
        <w:br/>
        <w:t>communication</w:t>
        <w:br/>
        <w:t>peak memory</w:t>
        <w:br/>
        <w:t>end-to-end wall time</w:t>
      </w:r>
    </w:p>
    <w:p>
      <w:r>
        <w:t>Compare candidate scaling models rather than asserting one in advance.</w:t>
      </w:r>
    </w:p>
    <w:p>
      <w:pPr>
        <w:pStyle w:val="Heading1"/>
      </w:pPr>
      <w:r>
        <w:t>13. Failure Modes and Adversarial Cases</w:t>
      </w:r>
    </w:p>
    <w:p>
      <w:r>
        <w:t>HTLA becomes dangerous when mathematically legal numerical operations are mistaken for semantically legal system operations.</w:t>
      </w:r>
    </w:p>
    <w:p>
      <w:pPr>
        <w:pStyle w:val="Heading2"/>
      </w:pPr>
      <w:r>
        <w:t>13.1 Schema collision</w:t>
      </w:r>
    </w:p>
    <w:p>
      <w:r>
        <w:t>Two components share dimension \(n\) but use different coordinate meanings. A careless flattening allows one to be fed into an operator trained for the other.</w:t>
      </w:r>
    </w:p>
    <w:p>
      <w:r>
        <w:t>Mitigation:</w:t>
      </w:r>
    </w:p>
    <w:p>
      <w:pPr>
        <w:pStyle w:val="CodeBlock"/>
        <w:shd w:fill="F3F6F8"/>
        <w:pBdr>
          <w:left w:val="single" w:sz="12" w:space="5" w:color="6C8EAD"/>
        </w:pBdr>
      </w:pPr>
      <w:r>
        <w:t>stable labels</w:t>
        <w:br/>
        <w:t>schema versions</w:t>
        <w:br/>
        <w:t>source/target validation</w:t>
        <w:br/>
        <w:t>explicit compatible maps</w:t>
      </w:r>
    </w:p>
    <w:p>
      <w:pPr>
        <w:pStyle w:val="Heading2"/>
      </w:pPr>
      <w:r>
        <w:t>13.2 Zero/missing collapse</w:t>
      </w:r>
    </w:p>
    <w:p>
      <w:r>
        <w:t>Unavailable evidence is numerically replaced by zero and downstream logic interprets zero as an observed clean or absent condition.</w:t>
      </w:r>
    </w:p>
    <w:p>
      <w:r>
        <w:t>Mitigation:</w:t>
      </w:r>
    </w:p>
    <w:p>
      <w:pPr>
        <w:pStyle w:val="CodeBlock"/>
        <w:shd w:fill="F3F6F8"/>
        <w:pBdr>
          <w:left w:val="single" w:sz="12" w:space="5" w:color="6C8EAD"/>
        </w:pBdr>
      </w:pPr>
      <w:r>
        <w:t>typed validity state</w:t>
        <w:br/>
        <w:t>mask propagation</w:t>
        <w:br/>
        <w:t>fail-closed decision layer</w:t>
      </w:r>
    </w:p>
    <w:p>
      <w:pPr>
        <w:pStyle w:val="Heading2"/>
      </w:pPr>
      <w:r>
        <w:t>13.3 Indefinite "similarity" kernel</w:t>
      </w:r>
    </w:p>
    <w:p>
      <w:r>
        <w:t>A cross-label matrix \(A\) is asymmetric or indefinite, yet code treats \(x^TAy\) as an inner product and uses metric assumptions that do not hold.</w:t>
      </w:r>
    </w:p>
    <w:p>
      <w:r>
        <w:t>Mitigation:</w:t>
      </w:r>
    </w:p>
    <w:p>
      <w:pPr>
        <w:pStyle w:val="CodeBlock"/>
        <w:shd w:fill="F3F6F8"/>
        <w:pBdr>
          <w:left w:val="single" w:sz="12" w:space="5" w:color="6C8EAD"/>
        </w:pBdr>
      </w:pPr>
      <w:r>
        <w:t>symmetry test</w:t>
        <w:br/>
        <w:t>eigenvalue / Cholesky test where appropriate</w:t>
        <w:br/>
        <w:t>explicit compatibility-score naming</w:t>
      </w:r>
    </w:p>
    <w:p>
      <w:pPr>
        <w:pStyle w:val="Heading2"/>
      </w:pPr>
      <w:r>
        <w:t>13.4 Rank-loss laundering</w:t>
      </w:r>
    </w:p>
    <w:p>
      <w:r>
        <w:t>A dimension-reducing transform discards information, but reconstruction is later treated as if it were the source state.</w:t>
      </w:r>
    </w:p>
    <w:p>
      <w:r>
        <w:t>Mitigation:</w:t>
      </w:r>
    </w:p>
    <w:p>
      <w:pPr>
        <w:pStyle w:val="CodeBlock"/>
        <w:shd w:fill="F3F6F8"/>
        <w:pBdr>
          <w:left w:val="single" w:sz="12" w:space="5" w:color="6C8EAD"/>
        </w:pBdr>
      </w:pPr>
      <w:r>
        <w:t>rank/null-space metadata</w:t>
        <w:br/>
        <w:t>transform provenance</w:t>
        <w:br/>
        <w:t>error contract</w:t>
        <w:br/>
        <w:t>recoverability status</w:t>
      </w:r>
    </w:p>
    <w:p>
      <w:pPr>
        <w:pStyle w:val="Heading2"/>
      </w:pPr>
      <w:r>
        <w:t>13.5 Regularization laundering</w:t>
      </w:r>
    </w:p>
    <w:p>
      <w:r>
        <w:t>A Tikhonov solution is called an "inverse" without stating \(\lambda\), making deliberate bias look like exact recovery.</w:t>
      </w:r>
    </w:p>
    <w:p>
      <w:r>
        <w:t>Mitigation:</w:t>
      </w:r>
    </w:p>
    <w:p>
      <w:pPr>
        <w:pStyle w:val="CodeBlock"/>
        <w:shd w:fill="F3F6F8"/>
        <w:pBdr>
          <w:left w:val="single" w:sz="12" w:space="5" w:color="6C8EAD"/>
        </w:pBdr>
      </w:pPr>
      <w:r>
        <w:t>regularization parameter in transform identity</w:t>
        <w:br/>
        <w:t>separate Moore-Penrose and Tikhonov APIs</w:t>
      </w:r>
    </w:p>
    <w:p>
      <w:pPr>
        <w:pStyle w:val="Heading2"/>
      </w:pPr>
      <w:r>
        <w:t>13.6 Derived-index authority escalation</w:t>
      </w:r>
    </w:p>
    <w:p>
      <w:r>
        <w:t>ANN/HNSW returns a near neighbor and downstream code uses that result as identity, truth, or authorization.</w:t>
      </w:r>
    </w:p>
    <w:p>
      <w:r>
        <w:t>Mitigation:</w:t>
      </w:r>
    </w:p>
    <w:p>
      <w:pPr>
        <w:pStyle w:val="CodeBlock"/>
        <w:shd w:fill="F3F6F8"/>
        <w:pBdr>
          <w:left w:val="single" w:sz="12" w:space="5" w:color="6C8EAD"/>
        </w:pBdr>
      </w:pPr>
      <w:r>
        <w:t>retrieval candidate only</w:t>
        <w:br/>
        <w:t>exact identity/provenance check</w:t>
        <w:br/>
        <w:t>HIGC / authority checks outside HTLA</w:t>
      </w:r>
    </w:p>
    <w:p>
      <w:pPr>
        <w:pStyle w:val="Heading2"/>
      </w:pPr>
      <w:r>
        <w:t>13.7 Unordered-label nondeterminism</w:t>
      </w:r>
    </w:p>
    <w:p>
      <w:r>
        <w:t>A map is flattened by iterating Python sets or hash-map order that differs between producers and consumers.</w:t>
      </w:r>
    </w:p>
    <w:p>
      <w:r>
        <w:t>Mitigation:</w:t>
      </w:r>
    </w:p>
    <w:p>
      <w:pPr>
        <w:pStyle w:val="CodeBlock"/>
        <w:shd w:fill="F3F6F8"/>
        <w:pBdr>
          <w:left w:val="single" w:sz="12" w:space="5" w:color="6C8EAD"/>
        </w:pBdr>
      </w:pPr>
      <w:r>
        <w:t>ordered labels are part of ABI</w:t>
        <w:br/>
        <w:t>canonical serialization</w:t>
        <w:br/>
        <w:t>round-trip tests</w:t>
      </w:r>
    </w:p>
    <w:p>
      <w:pPr>
        <w:pStyle w:val="Heading2"/>
      </w:pPr>
      <w:r>
        <w:t>13.8 Approximation-budget drift</w:t>
      </w:r>
    </w:p>
    <w:p>
      <w:r>
        <w:t>Low-rank or projection tolerances change between versions without recording the change.</w:t>
      </w:r>
    </w:p>
    <w:p>
      <w:r>
        <w:t>Mitigation:</w:t>
      </w:r>
    </w:p>
    <w:p>
      <w:pPr>
        <w:pStyle w:val="CodeBlock"/>
        <w:shd w:fill="F3F6F8"/>
        <w:pBdr>
          <w:left w:val="single" w:sz="12" w:space="5" w:color="6C8EAD"/>
        </w:pBdr>
      </w:pPr>
      <w:r>
        <w:t>versioned transform contract</w:t>
        <w:br/>
        <w:t>error-budget regression tests</w:t>
        <w:br/>
        <w:t>migration/QMT review when continuity matters</w:t>
      </w:r>
    </w:p>
    <w:p>
      <w:pPr>
        <w:pStyle w:val="Heading1"/>
      </w:pPr>
      <w:r>
        <w:t>14. Speculative Extensions</w:t>
      </w:r>
    </w:p>
    <w:p>
      <w:r>
        <w:t>Nothing in this section is required to define or operate HTLA. Every item is intentionally separated from the load-bearing calculus.</w:t>
      </w:r>
    </w:p>
    <w:p>
      <w:pPr>
        <w:pStyle w:val="Heading2"/>
      </w:pPr>
      <w:r>
        <w:t>14.1 Fisher-Rao label geometry</w:t>
      </w:r>
    </w:p>
    <w:p>
      <w:r>
        <w:rPr>
          <w:b/>
        </w:rPr>
        <w:t>Status: RESEARCH HYPOTHESIS</w:t>
      </w:r>
    </w:p>
    <w:p>
      <w:r>
        <w:t>If a differentiable statistical family</w:t>
      </w:r>
    </w:p>
    <w:p>
      <w:pPr>
        <w:pStyle w:val="Equation"/>
        <w:jc w:val="center"/>
      </w:pPr>
      <w:r>
        <w:t>p_\theta(t\mid s)</w:t>
      </w:r>
    </w:p>
    <w:p>
      <w:r>
        <w:t>is explicitly defined over label transitions or another HTLA-relevant stochastic object, the Fisher information matrix can provide a Riemannian metric on the parameter manifold.</w:t>
      </w:r>
    </w:p>
    <w:p>
      <w:r>
        <w:t>A raw cross-label weight matrix is not automatically a Fisher metric. A probability model, normalization, differentiability assumptions, and statistical interpretation must first exist.</w:t>
      </w:r>
    </w:p>
    <w:p>
      <w:pPr>
        <w:pStyle w:val="Heading2"/>
      </w:pPr>
      <w:r>
        <w:t>14.2 Persistent topology</w:t>
      </w:r>
    </w:p>
    <w:p>
      <w:r>
        <w:rPr>
          <w:b/>
        </w:rPr>
        <w:t>Status: RESEARCH HYPOTHESIS</w:t>
      </w:r>
    </w:p>
    <w:p>
      <w:r>
        <w:t>Persistent or zigzag homology may become useful if Nexus defines a time-varying coupling graph or filtration whose topological features answer a concrete engineering question.</w:t>
      </w:r>
    </w:p>
    <w:p>
      <w:r>
        <w:t>A sparse quinary vector alone does not define a topological filtration.</w:t>
      </w:r>
    </w:p>
    <w:p>
      <w:r>
        <w:t>Required future specification includes:</w:t>
      </w:r>
    </w:p>
    <w:p>
      <w:pPr>
        <w:pStyle w:val="CodeBlock"/>
        <w:shd w:fill="F3F6F8"/>
        <w:pBdr>
          <w:left w:val="single" w:sz="12" w:space="5" w:color="6C8EAD"/>
        </w:pBdr>
      </w:pPr>
      <w:r>
        <w:t>topological object</w:t>
        <w:br/>
        <w:t>filtration or zigzag sequence</w:t>
        <w:br/>
        <w:t>distance / weight function</w:t>
        <w:br/>
        <w:t>persistence statistic</w:t>
        <w:br/>
        <w:t>decision that consumes the statistic</w:t>
        <w:br/>
        <w:t>falsification criterion</w:t>
      </w:r>
    </w:p>
    <w:p>
      <w:pPr>
        <w:pStyle w:val="Heading2"/>
      </w:pPr>
      <w:r>
        <w:t>14.3 Heavy-tail robust solvers</w:t>
      </w:r>
    </w:p>
    <w:p>
      <w:r>
        <w:rPr>
          <w:b/>
        </w:rPr>
        <w:t>Status: RESEARCH HYPOTHESIS</w:t>
      </w:r>
    </w:p>
    <w:p>
      <w:r>
        <w:t>Robust estimators or published sub-exponential concentration results may be relevant under a concrete heavy-tailed noise model. The current HTLA core does not define such a model.</w:t>
      </w:r>
    </w:p>
    <w:p>
      <w:pPr>
        <w:pStyle w:val="Heading2"/>
      </w:pPr>
      <w:r>
        <w:t>14.4 Quantum block encoding</w:t>
      </w:r>
    </w:p>
    <w:p>
      <w:r>
        <w:rPr>
          <w:b/>
        </w:rPr>
        <w:t>Status: RESEARCH HYPOTHESIS</w:t>
      </w:r>
    </w:p>
    <w:p>
      <w:r>
        <w:t>Generic quantum block-encoding and quantum singular-value-transformation techniques can in principle act on suitable structured matrices when efficient state preparation and oracle access are available.</w:t>
      </w:r>
    </w:p>
    <w:p>
      <w:r>
        <w:t>No HTLA-specific quantum speedup follows merely from labels, Peirce blocks, or direct-sum notation.</w:t>
      </w:r>
    </w:p>
    <w:p>
      <w:r>
        <w:t>Any future claim must include:</w:t>
      </w:r>
    </w:p>
    <w:p>
      <w:pPr>
        <w:pStyle w:val="CodeBlock"/>
        <w:shd w:fill="F3F6F8"/>
        <w:pBdr>
          <w:left w:val="single" w:sz="12" w:space="5" w:color="6C8EAD"/>
        </w:pBdr>
      </w:pPr>
      <w:r>
        <w:t>oracle/access model</w:t>
        <w:br/>
        <w:t>state-preparation cost</w:t>
        <w:br/>
        <w:t>conditioning</w:t>
        <w:br/>
        <w:t>query complexity</w:t>
        <w:br/>
        <w:t>gate complexity</w:t>
        <w:br/>
        <w:t>measurement/output cost</w:t>
        <w:br/>
        <w:t>classical baseline</w:t>
      </w:r>
    </w:p>
    <w:p>
      <w:pPr>
        <w:pStyle w:val="Heading2"/>
      </w:pPr>
      <w:r>
        <w:t>14.5 Gauge-equivariant extensions</w:t>
      </w:r>
    </w:p>
    <w:p>
      <w:r>
        <w:rPr>
          <w:b/>
        </w:rPr>
        <w:t>Status: RESEARCH HYPOTHESIS</w:t>
      </w:r>
    </w:p>
    <w:p>
      <w:r>
        <w:t>If label spaces carry specified group representations and block operators are constrained to be intertwiners, an HTNLA extension may use representation-aware nonlinearities that preserve equivariance.</w:t>
      </w:r>
    </w:p>
    <w:p>
      <w:r>
        <w:t>Labels alone do not define a gauge group, bundle, or action.</w:t>
      </w:r>
    </w:p>
    <w:p>
      <w:pPr>
        <w:pStyle w:val="Heading2"/>
      </w:pPr>
      <w:r>
        <w:t>14.6 Neural-ODE extension</w:t>
      </w:r>
    </w:p>
    <w:p>
      <w:r>
        <w:rPr>
          <w:b/>
        </w:rPr>
        <w:t>Status: RESEARCH HYPOTHESIS</w:t>
      </w:r>
    </w:p>
    <w:p>
      <w:r>
        <w:t>A time-varying labeled state could be modeled by</w:t>
      </w:r>
    </w:p>
    <w:p>
      <w:pPr>
        <w:pStyle w:val="Equation"/>
        <w:jc w:val="center"/>
      </w:pPr>
      <w:r>
        <w:t>\dot H(t) = F(H(t),t)</w:t>
      </w:r>
    </w:p>
    <w:p>
      <w:r>
        <w:t>with block-structured vector fields. This requires existence/regularity assumptions, an integration contract, and a reason continuous time is preferable to the existing discrete subsystem dynamics.</w:t>
      </w:r>
    </w:p>
    <w:p>
      <w:pPr>
        <w:pStyle w:val="Heading2"/>
      </w:pPr>
      <w:r>
        <w:t>14.7 Emergent-spacetime analogy</w:t>
      </w:r>
    </w:p>
    <w:p>
      <w:r>
        <w:rPr>
          <w:b/>
        </w:rPr>
        <w:t>Status: RESEARCH HYPOTHESIS / heuristic only</w:t>
      </w:r>
    </w:p>
    <w:p>
      <w:r>
        <w:t>Nothing in the HTLA direct-sum or Peirce calculus derives physical spacetime or Einstein field equations.</w:t>
      </w:r>
    </w:p>
    <w:p>
      <w:r>
        <w:t>Information geometry and curvature may inspire mathematical regularizers or visualizations. They are not evidence of physical equivalence.</w:t>
      </w:r>
    </w:p>
    <w:p>
      <w:pPr>
        <w:pStyle w:val="Heading1"/>
      </w:pPr>
      <w:r>
        <w:t>15. Claim-Status Audit</w:t>
      </w:r>
    </w:p>
    <w:tbl>
      <w:tblPr>
        <w:tblStyle w:val="TableGrid"/>
        <w:tblW w:type="auto" w:w="0"/>
        <w:jc w:val="center"/>
        <w:tblLayout w:type="autofit"/>
        <w:tblLook w:firstColumn="1" w:firstRow="1" w:lastColumn="0" w:lastRow="0" w:noHBand="0" w:noVBand="1" w:val="04A0"/>
      </w:tblPr>
      <w:tblGrid>
        <w:gridCol w:w="3293"/>
        <w:gridCol w:w="3293"/>
        <w:gridCol w:w="3293"/>
      </w:tblGrid>
      <w:tr>
        <w:trPr>
          <w:cantSplit/>
          <w:tblHeader w:val="true"/>
        </w:trPr>
        <w:tc>
          <w:tcPr>
            <w:tcW w:type="dxa" w:w="3293"/>
            <w:vAlign w:val="center"/>
            <w:tcMar>
              <w:top w:w="70" w:type="dxa"/>
              <w:start w:w="90" w:type="dxa"/>
              <w:bottom w:w="70" w:type="dxa"/>
              <w:end w:w="90" w:type="dxa"/>
            </w:tcMar>
            <w:shd w:fill="DCE6F1"/>
          </w:tcPr>
          <w:p>
            <w:r>
              <w:rPr>
                <w:rFonts w:ascii="Liberation Sans" w:hAnsi="Liberation Sans"/>
                <w:b/>
                <w:sz w:val="16"/>
              </w:rPr>
            </w:r>
            <w:r>
              <w:rPr>
                <w:rFonts w:ascii="Liberation Sans" w:hAnsi="Liberation Sans"/>
                <w:b/>
                <w:sz w:val="16"/>
              </w:rPr>
              <w:t>Claim / object</w:t>
            </w:r>
          </w:p>
        </w:tc>
        <w:tc>
          <w:tcPr>
            <w:tcW w:type="dxa" w:w="3293"/>
            <w:vAlign w:val="center"/>
            <w:tcMar>
              <w:top w:w="70" w:type="dxa"/>
              <w:start w:w="90" w:type="dxa"/>
              <w:bottom w:w="70" w:type="dxa"/>
              <w:end w:w="90" w:type="dxa"/>
            </w:tcMar>
            <w:shd w:fill="DCE6F1"/>
          </w:tcPr>
          <w:p>
            <w:r>
              <w:rPr>
                <w:rFonts w:ascii="Liberation Sans" w:hAnsi="Liberation Sans"/>
                <w:b/>
                <w:sz w:val="16"/>
              </w:rPr>
            </w:r>
            <w:r>
              <w:rPr>
                <w:rFonts w:ascii="Liberation Sans" w:hAnsi="Liberation Sans"/>
                <w:b/>
                <w:sz w:val="16"/>
              </w:rPr>
              <w:t>Status</w:t>
            </w:r>
          </w:p>
        </w:tc>
        <w:tc>
          <w:tcPr>
            <w:tcW w:type="dxa" w:w="3293"/>
            <w:vAlign w:val="center"/>
            <w:tcMar>
              <w:top w:w="70" w:type="dxa"/>
              <w:start w:w="90" w:type="dxa"/>
              <w:bottom w:w="70" w:type="dxa"/>
              <w:end w:w="90" w:type="dxa"/>
            </w:tcMar>
            <w:shd w:fill="DCE6F1"/>
          </w:tcPr>
          <w:p>
            <w:r>
              <w:rPr>
                <w:rFonts w:ascii="Liberation Sans" w:hAnsi="Liberation Sans"/>
                <w:b/>
                <w:sz w:val="16"/>
              </w:rPr>
            </w:r>
            <w:r>
              <w:rPr>
                <w:rFonts w:ascii="Liberation Sans" w:hAnsi="Liberation Sans"/>
                <w:b/>
                <w:sz w:val="16"/>
              </w:rPr>
              <w:t>Basis</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HTLA is Nexus's labeled direct-sum linear calculus</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CANONICAL</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Higher-tier Nexus monograph</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\(\mathcal H=\bigoplus_\ell\mathbb R^{n_\ell}\)</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CANONICAL</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Nexus contract; standard linear algebra</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Finite direct sum can be flattened to \(\mathbb R^N\) after ordering</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VERIFIED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Standard finite-dimensional linear algebra</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Ordered labels are required for deterministic positional slicing</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PROPOSED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Engineering ABI requirement; fixes known implementation defect</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Algebraic zero is distinct from typed missingness</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CANONICAL</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Nexus epistemic contract</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Block application \(y_t=\sum_sL_{t,s}x_s\)</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CANONICAL</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Nexus contract; standard block algebra</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Block composition \((LM)_{t,s}=\sum_uL_{t,u}M_{u,s}\)</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VERIFIED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Standard block algebra</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Peirce decomposition of \(\operatorname{End}(\mathcal H)\)</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VERIFIED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Direct proof; established ring theory</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Finite real-linear preadditive category / ring-with-several-objects view</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VERIFIED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Established category/ring theory</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Historical generic "graded algebra" wording</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HISTORICAL/SUPERSEDED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No label degree law was defined</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Historical flattening functor "faithful but not full" under unrestricted hom-sets</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HISTORICAL/SUPERSEDED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Under those definitions it is full and faithful</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Strictly positive aligned weights define an inner product</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VERIFIED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Inner-product axioms</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Zero weights yield only a seminorm on the full space</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VERIFIED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Direct counterexample</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General cross-label bilinear form is an inner product when induced operator is SPD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VERIFIED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Standard bilinear-form theory</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PSD but singular cross-label operator yields a seminorm</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VERIFIED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Null-space argument</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Asymmetric/indefinite cross-label form is a compatibility score, not a metric</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PROPOSED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Terminological safety contract</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Similarity does not establish identity/truth/authorization</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CANONICAL</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Higher-tier Nexus authority separation</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Dimension reduction is not generally injective</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VERIFIED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Rank-nullity theorem</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Moore-Penrose pseudoinverse is not lost-information recovery</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VERIFIED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Generalized-inverse theory</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Tikhonov map with \(\lambda&gt;0\) is not an exact inverse</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VERIFIED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Singular-coordinate calculation</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JL preserves selected finite-set distances under stated assumptions</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VERIFIED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Johnson-Lindenstrauss theorem</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JL implies semantic preservation or exact recovery</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HISTORICAL/SUPERSEDED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Not entailed by theorem</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Blockwise truncated SVD error formula</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VERIFIED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Eckart-Young-Mirsky</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Global squared Frobenius block-error identity</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VERIFIED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Disjoint block support</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Quinary alphabet \(\{-2,-1,0,+1,+2\}\), \(d=1024\)</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CANONICAL</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Current Nexus reference geometry</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Bit-plane invariants \(M_1\wedge M_2=0\), \(S\wedge\neg A=0\)</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CANONICAL</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Current reference contract; bounded demonstrator tests reported</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\(K_{\mathrm{wall}}=307\)</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CANONICAL</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Current reference-implementation constraint</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70.02% vacuum is a universal HTLA law</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HISTORICAL/SUPERSEDED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It is implementation-specific</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Current quinary binding rule</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CANONICAL</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Current Nexus reference geometry</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EXACT / AMBIGUOUS / UNKNOWN / IMPOSSIBLE partial-unbind states</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CANONICAL</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Current Nexus epistemic contract</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Circular-convolution-plus-saturation is current Nexus reference binding</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HISTORICAL/SUPERSEDED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Replaced by quinary reference contract</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Corrected regularized solution \([0.69415113,1.27169222,1.63529520]^T\)</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VERIFIED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Executed NumPy calculation in this rewrite</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Corrected residual \(0.1051721250\)</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VERIFIED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Executed NumPy calculation in this rewrite</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Labeled pseudoinverse must reverse source/target roles</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VERIFIED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Type direction plus executed reference example</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Standard Hanson-Wright operator-norm branch is linear in \(t\)</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VERIFIED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Rudelson-Vershynin</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Historical homemade heavy-tail exponent substitution</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HISTORICAL/SUPERSEDED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Does not recover standard theorem</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Generic logarithmic-in-label-count HTLA gradient complexity</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RESEARCH HYPOTHESIS</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No general theorem established</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Sparse active blocks can decouple active compute from total potential blocks under explicit assumptions</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INFERRED</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Structural cost model; analogous to conditional computation</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HTLA-specific quantum speedup</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RESEARCH HYPOTHESIS</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No such result established</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Persistent homology is load-bearing HTLA machinery</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RESEARCH HYPOTHESIS</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No current filtration/decision contract</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Fisher-Rao label curvature</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RESEARCH HYPOTHESIS</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Requires explicit statistical manifold</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Gauge-equivariant HTNLA</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RESEARCH HYPOTHESIS</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Requires group representations and equivariant maps</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Neural-ODE HTNLA</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RESEARCH HYPOTHESIS</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Requires continuous-time model and validation</w:t>
            </w:r>
          </w:p>
        </w:tc>
      </w:tr>
      <w:tr>
        <w:trPr>
          <w:cantSplit/>
        </w:trPr>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Spacetime equivalence</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RESEARCH HYPOTHESIS</w:t>
            </w:r>
          </w:p>
        </w:tc>
        <w:tc>
          <w:tcPr>
            <w:tcW w:type="dxa" w:w="3293"/>
            <w:vAlign w:val="center"/>
            <w:tcMar>
              <w:top w:w="70" w:type="dxa"/>
              <w:start w:w="90" w:type="dxa"/>
              <w:bottom w:w="70" w:type="dxa"/>
              <w:end w:w="90" w:type="dxa"/>
            </w:tcMar>
          </w:tcPr>
          <w:p>
            <w:r>
              <w:rPr>
                <w:rFonts w:ascii="Liberation Sans" w:hAnsi="Liberation Sans"/>
                <w:sz w:val="16"/>
              </w:rPr>
            </w:r>
            <w:r>
              <w:rPr>
                <w:rFonts w:ascii="Liberation Sans" w:hAnsi="Liberation Sans"/>
                <w:sz w:val="16"/>
              </w:rPr>
              <w:t>Heuristic only; no physical derivation</w:t>
            </w:r>
          </w:p>
        </w:tc>
      </w:tr>
    </w:tbl>
    <w:p/>
    <w:p>
      <w:pPr>
        <w:pStyle w:val="Heading1"/>
      </w:pPr>
      <w:r>
        <w:t>16. Validation and Falsification Program</w:t>
      </w:r>
    </w:p>
    <w:p>
      <w:r>
        <w:t>A replacement Tier-2 subsystem paper should be executable enough that important claims can fail.</w:t>
      </w:r>
    </w:p>
    <w:p>
      <w:pPr>
        <w:pStyle w:val="Heading2"/>
      </w:pPr>
      <w:r>
        <w:t>16.1 Schema invariants</w:t>
      </w:r>
    </w:p>
    <w:p>
      <w:r>
        <w:t>Test:</w:t>
      </w:r>
    </w:p>
    <w:p>
      <w:pPr>
        <w:pStyle w:val="CodeBlock"/>
        <w:shd w:fill="F3F6F8"/>
        <w:pBdr>
          <w:left w:val="single" w:sz="12" w:space="5" w:color="6C8EAD"/>
        </w:pBdr>
      </w:pPr>
      <w:r>
        <w:t>duplicate labels rejected</w:t>
        <w:br/>
        <w:t>dimension mismatch rejected</w:t>
        <w:br/>
        <w:t>wrong target block height rejected</w:t>
        <w:br/>
        <w:t>wrong source block width rejected</w:t>
        <w:br/>
        <w:t>unordered serialization cannot change layout</w:t>
        <w:br/>
        <w:t>canonical flatten/unflatten round trip</w:t>
      </w:r>
    </w:p>
    <w:p>
      <w:pPr>
        <w:pStyle w:val="Heading2"/>
      </w:pPr>
      <w:r>
        <w:t>16.2 Algebraic properties</w:t>
      </w:r>
    </w:p>
    <w:p>
      <w:r>
        <w:t>For randomly generated valid schemas and operators:</w:t>
      </w:r>
    </w:p>
    <w:p>
      <w:pPr>
        <w:pStyle w:val="Equation"/>
        <w:jc w:val="center"/>
      </w:pPr>
      <w:r>
        <w:t>\mathcal I H=H,</w:t>
      </w:r>
    </w:p>
    <w:p>
      <w:pPr>
        <w:pStyle w:val="Equation"/>
        <w:jc w:val="center"/>
      </w:pPr>
      <w:r>
        <w:t>(\mathcal L+\mathcal M)H = \mathcal LH+\mathcal MH,</w:t>
      </w:r>
    </w:p>
    <w:p>
      <w:pPr>
        <w:pStyle w:val="Equation"/>
        <w:jc w:val="center"/>
      </w:pPr>
      <w:r>
        <w:t>(\mathcal A\mathcal B)\mathcal C = \mathcal A(\mathcal B\mathcal C)</w:t>
      </w:r>
    </w:p>
    <w:p>
      <w:r>
        <w:t>within numerical tolerance.</w:t>
      </w:r>
    </w:p>
    <w:p>
      <w:r>
        <w:t>Verify block composition against flattened dense composition.</w:t>
      </w:r>
    </w:p>
    <w:p>
      <w:pPr>
        <w:pStyle w:val="Heading2"/>
      </w:pPr>
      <w:r>
        <w:t>16.3 Similarity tests</w:t>
      </w:r>
    </w:p>
    <w:p>
      <w:r>
        <w:t>For positive weights:</w:t>
      </w:r>
    </w:p>
    <w:p>
      <w:pPr>
        <w:pStyle w:val="CodeBlock"/>
        <w:shd w:fill="F3F6F8"/>
        <w:pBdr>
          <w:left w:val="single" w:sz="12" w:space="5" w:color="6C8EAD"/>
        </w:pBdr>
      </w:pPr>
      <w:r>
        <w:t>symmetry</w:t>
        <w:br/>
        <w:t>positive definiteness on nonzero random states</w:t>
        <w:br/>
        <w:t>cosine bounds within numerical tolerance</w:t>
      </w:r>
    </w:p>
    <w:p>
      <w:r>
        <w:t>For zero weights, explicitly demonstrate nonzero null states.</w:t>
      </w:r>
    </w:p>
    <w:p>
      <w:r>
        <w:t>For general cross-label matrices, reject "inner product" configuration when symmetry or positive-definiteness checks fail.</w:t>
      </w:r>
    </w:p>
    <w:p>
      <w:pPr>
        <w:pStyle w:val="Heading2"/>
      </w:pPr>
      <w:r>
        <w:t>16.4 Transform tests</w:t>
      </w:r>
    </w:p>
    <w:p>
      <w:r>
        <w:t>For every production dimension-changing transform:</w:t>
      </w:r>
    </w:p>
    <w:p>
      <w:pPr>
        <w:pStyle w:val="CodeBlock"/>
        <w:shd w:fill="F3F6F8"/>
        <w:pBdr>
          <w:left w:val="single" w:sz="12" w:space="5" w:color="6C8EAD"/>
        </w:pBdr>
      </w:pPr>
      <w:r>
        <w:t>record rank</w:t>
        <w:br/>
        <w:t>measure reconstruction distribution</w:t>
        <w:br/>
        <w:t>measure distortion on reference set</w:t>
        <w:br/>
        <w:t>test out-of-distribution behavior</w:t>
        <w:br/>
        <w:t>verify transform id/version</w:t>
        <w:br/>
        <w:t>verify decoder pairing</w:t>
      </w:r>
    </w:p>
    <w:p>
      <w:r>
        <w:t>For random projections, compare empirical pairwise distortion against the declared contract.</w:t>
      </w:r>
    </w:p>
    <w:p>
      <w:pPr>
        <w:pStyle w:val="Heading2"/>
      </w:pPr>
      <w:r>
        <w:t>16.5 Quinary representation tests</w:t>
      </w:r>
    </w:p>
    <w:p>
      <w:r>
        <w:t>Verify:</w:t>
      </w:r>
    </w:p>
    <w:p>
      <w:pPr>
        <w:pStyle w:val="CodeBlock"/>
        <w:shd w:fill="F3F6F8"/>
        <w:pBdr>
          <w:left w:val="single" w:sz="12" w:space="5" w:color="6C8EAD"/>
        </w:pBdr>
      </w:pPr>
      <w:r>
        <w:t>dense &lt;-&gt; packed round trip</w:t>
        <w:br/>
        <w:t>M1 &amp; M2 == 0</w:t>
        <w:br/>
        <w:t>S &amp; ~A == 0</w:t>
        <w:br/>
        <w:t>active count &lt;= K_wall</w:t>
        <w:br/>
        <w:t>binding closure over quinary alphabet</w:t>
        <w:br/>
        <w:t>partial-unbind status cases</w:t>
        <w:br/>
        <w:t>all-vacuum edge</w:t>
        <w:br/>
        <w:t>malformed composite -&gt; IMPOSSIBLE</w:t>
      </w:r>
    </w:p>
    <w:p>
      <w:pPr>
        <w:pStyle w:val="Heading2"/>
      </w:pPr>
      <w:r>
        <w:t>16.6 Approximation tests</w:t>
      </w:r>
    </w:p>
    <w:p>
      <w:r>
        <w:t>For SVD compression:</w:t>
      </w:r>
    </w:p>
    <w:p>
      <w:pPr>
        <w:pStyle w:val="CodeBlock"/>
        <w:shd w:fill="F3F6F8"/>
        <w:pBdr>
          <w:left w:val="single" w:sz="12" w:space="5" w:color="6C8EAD"/>
        </w:pBdr>
      </w:pPr>
      <w:r>
        <w:t>reported block error == measured block Frobenius error</w:t>
        <w:br/>
        <w:t>global squared error == sum block squared errors</w:t>
        <w:br/>
        <w:t>state-output error respects operator-norm bound</w:t>
      </w:r>
    </w:p>
    <w:p>
      <w:pPr>
        <w:pStyle w:val="Heading2"/>
      </w:pPr>
      <w:r>
        <w:t>16.7 Implementation regression for inverse direction</w:t>
      </w:r>
    </w:p>
    <w:p>
      <w:r>
        <w:t>Construct a nontrivial multi-label operator</w:t>
      </w:r>
    </w:p>
    <w:p>
      <w:pPr>
        <w:pStyle w:val="CodeBlock"/>
        <w:shd w:fill="F3F6F8"/>
        <w:pBdr>
          <w:left w:val="single" w:sz="12" w:space="5" w:color="6C8EAD"/>
        </w:pBdr>
      </w:pPr>
      <w:r>
        <w:t>source: {a:R^2, b:R^1}</w:t>
        <w:br/>
        <w:t>target: {x:R^1, y:R^2}</w:t>
      </w:r>
    </w:p>
    <w:p>
      <w:r>
        <w:t>and assert:</w:t>
      </w:r>
    </w:p>
    <w:p>
      <w:pPr>
        <w:pStyle w:val="CodeBlock"/>
        <w:shd w:fill="F3F6F8"/>
        <w:pBdr>
          <w:left w:val="single" w:sz="12" w:space="5" w:color="6C8EAD"/>
        </w:pBdr>
      </w:pPr>
      <w:r>
        <w:t>pinv.source_labels == original.target_labels</w:t>
        <w:br/>
        <w:t>pinv.target_labels == original.source_labels</w:t>
        <w:br/>
        <w:t>pinv.dense().shape == reverse(original.dense().shape)</w:t>
      </w:r>
    </w:p>
    <w:p>
      <w:r>
        <w:t>Then compare against the dense NumPy generalized inverse or regularized reference.</w:t>
      </w:r>
    </w:p>
    <w:p>
      <w:pPr>
        <w:pStyle w:val="Heading2"/>
      </w:pPr>
      <w:r>
        <w:t>16.8 Complexity falsification</w:t>
      </w:r>
    </w:p>
    <w:p>
      <w:r>
        <w:t>Do not benchmark only arithmetic kernels. Include routing and communication.</w:t>
      </w:r>
    </w:p>
    <w:p>
      <w:r>
        <w:t>A complexity claim survives only if the measured end-to-end curve matches the stated access model.</w:t>
      </w:r>
    </w:p>
    <w:p>
      <w:pPr>
        <w:pStyle w:val="Heading1"/>
      </w:pPr>
      <w:r>
        <w:t>17. Canonical Engineering Laws for HTLA</w:t>
      </w:r>
    </w:p>
    <w:p>
      <w:r>
        <w:t>The subsystem can be summarized by the following laws.</w:t>
      </w:r>
    </w:p>
    <w:p>
      <w:pPr>
        <w:pStyle w:val="ListNumber"/>
      </w:pPr>
      <w:r>
        <w:rPr>
          <w:b/>
        </w:rPr>
        <w:t>Labels are semantic types, not decorative names.</w:t>
      </w:r>
    </w:p>
    <w:p>
      <w:pPr>
        <w:pStyle w:val="ListNumber"/>
      </w:pPr>
      <w:r>
        <w:rPr>
          <w:b/>
        </w:rPr>
        <w:t>Equal dimensions do not imply compatible meanings.</w:t>
      </w:r>
    </w:p>
    <w:p>
      <w:pPr>
        <w:pStyle w:val="ListNumber"/>
      </w:pPr>
      <w:r>
        <w:rPr>
          <w:b/>
        </w:rPr>
        <w:t>Finite direct sums may be flattened, but the schema must survive flattening.</w:t>
      </w:r>
    </w:p>
    <w:p>
      <w:pPr>
        <w:pStyle w:val="ListNumber"/>
      </w:pPr>
      <w:r>
        <w:rPr>
          <w:b/>
        </w:rPr>
        <w:t>Configured zero coupling is different from unknown coupling.</w:t>
      </w:r>
    </w:p>
    <w:p>
      <w:pPr>
        <w:pStyle w:val="ListNumber"/>
      </w:pPr>
      <w:r>
        <w:rPr>
          <w:b/>
        </w:rPr>
        <w:t>Numerical zero is different from epistemic absence.</w:t>
      </w:r>
    </w:p>
    <w:p>
      <w:pPr>
        <w:pStyle w:val="ListNumber"/>
      </w:pPr>
      <w:r>
        <w:rPr>
          <w:b/>
        </w:rPr>
        <w:t>Every block has an explicit source and target type.</w:t>
      </w:r>
    </w:p>
    <w:p>
      <w:pPr>
        <w:pStyle w:val="ListNumber"/>
      </w:pPr>
      <w:r>
        <w:rPr>
          <w:b/>
        </w:rPr>
        <w:t>Inverse-shaped maps reverse source and target roles.</w:t>
      </w:r>
    </w:p>
    <w:p>
      <w:pPr>
        <w:pStyle w:val="ListNumber"/>
      </w:pPr>
      <w:r>
        <w:rPr>
          <w:b/>
        </w:rPr>
        <w:t>Dimension reduction carries an information-loss obligation.</w:t>
      </w:r>
    </w:p>
    <w:p>
      <w:pPr>
        <w:pStyle w:val="ListNumber"/>
      </w:pPr>
      <w:r>
        <w:rPr>
          <w:b/>
        </w:rPr>
        <w:t>Approximate reconstruction is not original-state recovery.</w:t>
      </w:r>
    </w:p>
    <w:p>
      <w:pPr>
        <w:pStyle w:val="ListNumber"/>
      </w:pPr>
      <w:r>
        <w:rPr>
          <w:b/>
        </w:rPr>
        <w:t>Similarity is evidence, never authority.</w:t>
      </w:r>
    </w:p>
    <w:p>
      <w:pPr>
        <w:pStyle w:val="ListNumber"/>
      </w:pPr>
      <w:r>
        <w:rPr>
          <w:b/>
        </w:rPr>
        <w:t>A general compatibility score is not an inner product unless it satisfies the inner-product axioms.</w:t>
      </w:r>
    </w:p>
    <w:p>
      <w:pPr>
        <w:pStyle w:val="ListNumber"/>
      </w:pPr>
      <w:r>
        <w:rPr>
          <w:b/>
        </w:rPr>
        <w:t>Positive semidefiniteness without definiteness yields a seminorm.</w:t>
      </w:r>
    </w:p>
    <w:p>
      <w:pPr>
        <w:pStyle w:val="ListNumber"/>
      </w:pPr>
      <w:r>
        <w:rPr>
          <w:b/>
        </w:rPr>
        <w:t>Compression error must remain measurable and attributable to the block that introduced it.</w:t>
      </w:r>
    </w:p>
    <w:p>
      <w:pPr>
        <w:pStyle w:val="ListNumber"/>
      </w:pPr>
      <w:r>
        <w:rPr>
          <w:b/>
        </w:rPr>
        <w:t>A fixed sparsity fraction is not, by itself, a complexity-class reduction.</w:t>
      </w:r>
    </w:p>
    <w:p>
      <w:pPr>
        <w:pStyle w:val="ListNumber"/>
      </w:pPr>
      <w:r>
        <w:rPr>
          <w:b/>
        </w:rPr>
        <w:t>Probabilistic theorems require explicit stochastic assumptions.</w:t>
      </w:r>
    </w:p>
    <w:p>
      <w:pPr>
        <w:pStyle w:val="ListNumber"/>
      </w:pPr>
      <w:r>
        <w:rPr>
          <w:b/>
        </w:rPr>
        <w:t>Reference-geometry constants are versioned implementation constraints, not universal laws.</w:t>
      </w:r>
    </w:p>
    <w:p>
      <w:pPr>
        <w:pStyle w:val="ListNumber"/>
      </w:pPr>
      <w:r>
        <w:rPr>
          <w:b/>
        </w:rPr>
        <w:t>Partial unbinding must surface ambiguity and information loss.</w:t>
      </w:r>
    </w:p>
    <w:p>
      <w:pPr>
        <w:pStyle w:val="ListNumber"/>
      </w:pPr>
      <w:r>
        <w:rPr>
          <w:b/>
        </w:rPr>
        <w:t>Speculative mathematics does not become load-bearing by proximity to verified mathematics.</w:t>
      </w:r>
    </w:p>
    <w:p>
      <w:pPr>
        <w:pStyle w:val="ListNumber"/>
      </w:pPr>
      <w:r>
        <w:rPr>
          <w:b/>
        </w:rPr>
        <w:t>HTLA does not own identity, truth, constitutional admissibility, or physical realization.</w:t>
      </w:r>
    </w:p>
    <w:p>
      <w:pPr>
        <w:pStyle w:val="ListNumber"/>
      </w:pPr>
      <w:r>
        <w:rPr>
          <w:b/>
        </w:rPr>
        <w:t>Every performance or scaling claim must point to a theorem, an executed benchmark, or an explicit research hypothesis.</w:t>
      </w:r>
    </w:p>
    <w:p>
      <w:pPr>
        <w:pStyle w:val="Heading1"/>
      </w:pPr>
      <w:r>
        <w:t>18. Conclusion</w:t>
      </w:r>
    </w:p>
    <w:p>
      <w:r>
        <w:t>HTLA is intentionally less exotic than its historical prose sometimes suggested.</w:t>
      </w:r>
    </w:p>
    <w:p>
      <w:r>
        <w:t>At its mathematical core, it is a finite labeled direct-sum calculus with typed block linear maps. Peirce decomposition supplies the correct algebraic account of the block structure. Standard bilinear-form theory distinguishes genuine inner products from seminorms and directed compatibility functions. Rank-nullity, generalized inverses, regularization, and Johnson-Lindenstrauss theory provide explicit limits on what dimension-changing maps can preserve. Truncated SVD supplies measurable blockwise approximation. Standard concentration theory can be used when its assumptions are actually instantiated.</w:t>
      </w:r>
    </w:p>
    <w:p>
      <w:r>
        <w:t xml:space="preserve">The Nexus-specific engineering value lies in what is built around those ordinary mathematical objects: labels are retained as semantic types; missingness is not collapsed into zero; mappings carry source and target meaning; transform error and provenance remain visible; the current quinary reference geometry exposes structural invariants; and information-losing binding reports </w:t>
      </w:r>
      <w:r>
        <w:rPr>
          <w:rFonts w:ascii="DejaVu Sans Mono" w:hAnsi="DejaVu Sans Mono"/>
          <w:sz w:val="18"/>
        </w:rPr>
        <w:t>EXACT</w:t>
      </w:r>
      <w:r>
        <w:t xml:space="preserve">, </w:t>
      </w:r>
      <w:r>
        <w:rPr>
          <w:rFonts w:ascii="DejaVu Sans Mono" w:hAnsi="DejaVu Sans Mono"/>
          <w:sz w:val="18"/>
        </w:rPr>
        <w:t>AMBIGUOUS</w:t>
      </w:r>
      <w:r>
        <w:t xml:space="preserve">, </w:t>
      </w:r>
      <w:r>
        <w:rPr>
          <w:rFonts w:ascii="DejaVu Sans Mono" w:hAnsi="DejaVu Sans Mono"/>
          <w:sz w:val="18"/>
        </w:rPr>
        <w:t>UNKNOWN</w:t>
      </w:r>
      <w:r>
        <w:t xml:space="preserve">, or </w:t>
      </w:r>
      <w:r>
        <w:rPr>
          <w:rFonts w:ascii="DejaVu Sans Mono" w:hAnsi="DejaVu Sans Mono"/>
          <w:sz w:val="18"/>
        </w:rPr>
        <w:t>IMPOSSIBLE</w:t>
      </w:r>
      <w:r>
        <w:t xml:space="preserve"> rather than manufacturing certainty.</w:t>
      </w:r>
    </w:p>
    <w:p>
      <w:r>
        <w:t>That makes HTLA useful as a mathematical ABI precisely because it refuses to let numerical convenience erase epistemic or semantic structure.</w:t>
      </w:r>
    </w:p>
    <w:p>
      <w:r>
        <w:t>The final governing distinction is:</w:t>
      </w:r>
    </w:p>
    <w:p>
      <w:pPr>
        <w:pStyle w:val="CodeBlock"/>
        <w:shd w:fill="F3F6F8"/>
        <w:pBdr>
          <w:left w:val="single" w:sz="12" w:space="5" w:color="6C8EAD"/>
        </w:pBdr>
      </w:pPr>
      <w:r>
        <w:t>mathematical shape compatibility</w:t>
        <w:br/>
        <w:t xml:space="preserve">        !=</w:t>
        <w:br/>
        <w:t>semantic compatibility</w:t>
        <w:br/>
        <w:t xml:space="preserve">        !=</w:t>
        <w:br/>
        <w:t>recoverability</w:t>
        <w:br/>
        <w:t xml:space="preserve">        !=</w:t>
        <w:br/>
        <w:t>identity</w:t>
        <w:br/>
        <w:t xml:space="preserve">        !=</w:t>
        <w:br/>
        <w:t>authority</w:t>
      </w:r>
    </w:p>
    <w:p>
      <w:r>
        <w:t>HTLA owns the first layer and supplies explicit contracts that help the rest of Nexus reason safely about the others.</w:t>
      </w:r>
    </w:p>
    <w:p>
      <w:pPr>
        <w:pStyle w:val="Heading1"/>
      </w:pPr>
      <w:r>
        <w:t>References</w:t>
      </w:r>
    </w:p>
    <w:p>
      <w:pPr>
        <w:pStyle w:val="ListNumber"/>
      </w:pPr>
      <w:r>
        <w:t xml:space="preserve">Chiang, D., Rush, A. M., &amp; Barak, B. (2023). </w:t>
      </w:r>
      <w:r>
        <w:rPr>
          <w:i/>
        </w:rPr>
        <w:t>Named Tensor Notation</w:t>
      </w:r>
      <w:r>
        <w:t>. Transactions on Machine Learning Research. arXiv:2102.13196. https://arxiv.org/abs/2102.13196</w:t>
      </w:r>
    </w:p>
    <w:p>
      <w:pPr>
        <w:pStyle w:val="ListNumber"/>
      </w:pPr>
      <w:r>
        <w:t xml:space="preserve">Mitchell, B. (1972). </w:t>
      </w:r>
      <w:r>
        <w:rPr>
          <w:i/>
        </w:rPr>
        <w:t>Rings with Several Objects</w:t>
      </w:r>
      <w:r>
        <w:t>. Advances in Mathematics, 8, 1-161. https://doi.org/10.1016/0001-8708(72)90002-3</w:t>
      </w:r>
    </w:p>
    <w:p>
      <w:pPr>
        <w:pStyle w:val="ListNumber"/>
      </w:pPr>
      <w:r>
        <w:t xml:space="preserve">Kanerva, P. (2009). </w:t>
      </w:r>
      <w:r>
        <w:rPr>
          <w:i/>
        </w:rPr>
        <w:t>Hyperdimensional Computing: An Introduction to Computing in Distributed Representation with High-Dimensional Random Vectors</w:t>
      </w:r>
      <w:r>
        <w:t>. Cognitive Computation, 1, 139-159. https://doi.org/10.1007/s12559-009-9009-8</w:t>
      </w:r>
    </w:p>
    <w:p>
      <w:pPr>
        <w:pStyle w:val="ListNumber"/>
      </w:pPr>
      <w:r>
        <w:t xml:space="preserve">Plate, T. A. (2003). </w:t>
      </w:r>
      <w:r>
        <w:rPr>
          <w:i/>
        </w:rPr>
        <w:t>Holographic Reduced Representation: Distributed Representation for Cognitive Structures</w:t>
      </w:r>
      <w:r>
        <w:t>. CSLI Publications.</w:t>
      </w:r>
    </w:p>
    <w:p>
      <w:pPr>
        <w:pStyle w:val="ListNumber"/>
      </w:pPr>
      <w:r>
        <w:t xml:space="preserve">Schlegel, K., Neubert, P., &amp; Protzel, P. (2022). </w:t>
      </w:r>
      <w:r>
        <w:rPr>
          <w:i/>
        </w:rPr>
        <w:t>A comparison of vector symbolic architectures</w:t>
      </w:r>
      <w:r>
        <w:t>. Artificial Intelligence Review, 55, 4523-4555. https://doi.org/10.1007/s10462-021-10110-3</w:t>
      </w:r>
    </w:p>
    <w:p>
      <w:pPr>
        <w:pStyle w:val="ListNumber"/>
      </w:pPr>
      <w:r>
        <w:t xml:space="preserve">Johnson, W. B., &amp; Lindenstrauss, J. (1984). </w:t>
      </w:r>
      <w:r>
        <w:rPr>
          <w:i/>
        </w:rPr>
        <w:t>Extensions of Lipschitz mappings into a Hilbert space</w:t>
      </w:r>
      <w:r>
        <w:t>. Contemporary Mathematics, 26, 189-206. https://doi.org/10.1090/conm/026/737400</w:t>
      </w:r>
    </w:p>
    <w:p>
      <w:pPr>
        <w:pStyle w:val="ListNumber"/>
      </w:pPr>
      <w:r>
        <w:t xml:space="preserve">Golub, G. H., Hoffman, A., &amp; Stewart, G. W. (1987). </w:t>
      </w:r>
      <w:r>
        <w:rPr>
          <w:i/>
        </w:rPr>
        <w:t>A generalization of the Eckart-Young-Mirsky matrix approximation theorem</w:t>
      </w:r>
      <w:r>
        <w:t>. Linear Algebra and its Applications, 88-89, 317-327. https://doi.org/10.1016/0024-3795(87)90114-5</w:t>
      </w:r>
    </w:p>
    <w:p>
      <w:pPr>
        <w:pStyle w:val="ListNumber"/>
      </w:pPr>
      <w:r>
        <w:t xml:space="preserve">Rudelson, M., &amp; Vershynin, R. (2013). </w:t>
      </w:r>
      <w:r>
        <w:rPr>
          <w:i/>
        </w:rPr>
        <w:t>Hanson-Wright inequality and sub-gaussian concentration</w:t>
      </w:r>
      <w:r>
        <w:t>. Electronic Communications in Probability, 18. https://doi.org/10.1214/ECP.v18-2865</w:t>
      </w:r>
    </w:p>
    <w:p>
      <w:pPr>
        <w:pStyle w:val="ListNumber"/>
      </w:pPr>
      <w:r>
        <w:t xml:space="preserve">Götze, F., Sambale, H., &amp; Sinulis, A. (2019). </w:t>
      </w:r>
      <w:r>
        <w:rPr>
          <w:i/>
        </w:rPr>
        <w:t>Concentration inequalities for polynomials in alpha-sub-exponential random variables</w:t>
      </w:r>
      <w:r>
        <w:t>. arXiv:1903.05964. https://arxiv.org/abs/1903.05964</w:t>
      </w:r>
    </w:p>
    <w:p>
      <w:pPr>
        <w:pStyle w:val="ListNumber"/>
      </w:pPr>
      <w:r>
        <w:t xml:space="preserve">Shazeer, N., Mirhoseini, A., Maziarz, K., Davis, A., Le, Q., Hinton, G., &amp; Dean, J. (2017). </w:t>
      </w:r>
      <w:r>
        <w:rPr>
          <w:i/>
        </w:rPr>
        <w:t>Outrageously Large Neural Networks: The Sparsely-Gated Mixture-of-Experts Layer</w:t>
      </w:r>
      <w:r>
        <w:t>. arXiv:1701.06538. https://arxiv.org/abs/1701.06538</w:t>
      </w:r>
    </w:p>
    <w:p>
      <w:pPr>
        <w:pStyle w:val="ListNumber"/>
      </w:pPr>
      <w:r>
        <w:t xml:space="preserve">Fedus, W., Zoph, B., &amp; Shazeer, N. (2021). </w:t>
      </w:r>
      <w:r>
        <w:rPr>
          <w:i/>
        </w:rPr>
        <w:t>Switch Transformers: Scaling to Trillion Parameter Models with Simple and Efficient Sparsity</w:t>
      </w:r>
      <w:r>
        <w:t>. arXiv:2101.03961. https://arxiv.org/abs/2101.03961</w:t>
      </w:r>
    </w:p>
    <w:p>
      <w:pPr>
        <w:pStyle w:val="ListNumber"/>
      </w:pPr>
      <w:r>
        <w:t xml:space="preserve">Gilyén, A., Su, Y., Low, G. H., &amp; Wiebe, N. (2019). </w:t>
      </w:r>
      <w:r>
        <w:rPr>
          <w:i/>
        </w:rPr>
        <w:t>Quantum singular value transformation and beyond: exponential improvements for quantum matrix arithmetics</w:t>
      </w:r>
      <w:r>
        <w:t>. Proceedings of STOC 2019. arXiv:1806.01838. https://arxiv.org/abs/1806.01838</w:t>
      </w:r>
    </w:p>
    <w:p>
      <w:pPr>
        <w:pStyle w:val="ListNumber"/>
      </w:pPr>
      <w:r>
        <w:t xml:space="preserve">Low, G. H., &amp; Chuang, I. L. (2019). </w:t>
      </w:r>
      <w:r>
        <w:rPr>
          <w:i/>
        </w:rPr>
        <w:t>Hamiltonian Simulation by Qubitization</w:t>
      </w:r>
      <w:r>
        <w:t>. Quantum, 3, 163. https://doi.org/10.22331/q-2019-07-12-163</w:t>
      </w:r>
    </w:p>
    <w:p>
      <w:pPr>
        <w:pStyle w:val="ListNumber"/>
      </w:pPr>
      <w:r>
        <w:t xml:space="preserve">Carlsson, G., &amp; de Silva, V. (2010). </w:t>
      </w:r>
      <w:r>
        <w:rPr>
          <w:i/>
        </w:rPr>
        <w:t>Zigzag Persistence</w:t>
      </w:r>
      <w:r>
        <w:t>. Foundations of Computational Mathematics, 10, 367-405. https://doi.org/10.1007/s10208-010-9066-0</w:t>
      </w:r>
    </w:p>
    <w:p>
      <w:pPr>
        <w:pStyle w:val="ListNumber"/>
      </w:pPr>
      <w:r>
        <w:t xml:space="preserve">Cohen, T., Weiler, M., Kicanaoglu, B., &amp; Welling, M. (2019). </w:t>
      </w:r>
      <w:r>
        <w:rPr>
          <w:i/>
        </w:rPr>
        <w:t>Gauge Equivariant Convolutional Networks and the Icosahedral CNN</w:t>
      </w:r>
      <w:r>
        <w:t>. Proceedings of the 36th International Conference on Machine Learning, PMLR 97, 1321-1330. https://proceedings.mlr.press/v97/cohen19d.html</w:t>
      </w:r>
    </w:p>
    <w:p>
      <w:pPr>
        <w:pStyle w:val="ListNumber"/>
      </w:pPr>
      <w:r>
        <w:t xml:space="preserve">Chen, R. T. Q., Rubanova, Y., Bettencourt, J., &amp; Duvenaud, D. (2018). </w:t>
      </w:r>
      <w:r>
        <w:rPr>
          <w:i/>
        </w:rPr>
        <w:t>Neural Ordinary Differential Equations</w:t>
      </w:r>
      <w:r>
        <w:t>. Advances in Neural Information Processing Systems 31. arXiv:1806.07366. https://arxiv.org/abs/1806.07366</w:t>
      </w:r>
    </w:p>
    <w:p>
      <w:pPr>
        <w:pStyle w:val="ListNumber"/>
      </w:pPr>
      <w:r>
        <w:rPr>
          <w:i/>
        </w:rPr>
        <w:t>Project Nexus 4: Canonical Architecture, Cognitive Runtime, and Engineering Field Guide</w:t>
      </w:r>
      <w:r>
        <w:t>. Reference edition 2026-08-28. Internal Tier-0 architecture source.</w:t>
      </w:r>
    </w:p>
    <w:p>
      <w:pPr>
        <w:pStyle w:val="ListNumber"/>
      </w:pPr>
      <w:r>
        <w:rPr>
          <w:i/>
        </w:rPr>
        <w:t>PROJECT_NEXUS_V4_VERIFICATION_REPORT</w:t>
      </w:r>
      <w:r>
        <w:t>. Project Nexus reference-demonstrator verification record, 2026-07-20. Internal verification source.</w:t>
      </w:r>
    </w:p>
    <w:p>
      <w:pPr>
        <w:pStyle w:val="Heading1"/>
      </w:pPr>
      <w:r>
        <w:t>Appendix A. ASCII Formula Reference</w:t>
      </w:r>
    </w:p>
    <w:p>
      <w:pPr>
        <w:pStyle w:val="CodeBlock"/>
        <w:shd w:fill="F3F6F8"/>
        <w:pBdr>
          <w:left w:val="single" w:sz="12" w:space="5" w:color="6C8EAD"/>
        </w:pBdr>
      </w:pPr>
      <w:r>
        <w:t>State space:</w:t>
        <w:br/>
        <w:t>H_L = direct_sum_(l in L) R^(n_l)</w:t>
        <w:br/>
        <w:br/>
        <w:t>Element:</w:t>
        <w:br/>
        <w:t>H = (H_l)_(l in L)</w:t>
        <w:br/>
        <w:br/>
        <w:t>Block:</w:t>
        <w:br/>
        <w:t>L_(t,s) : R^(p_s) -&gt; R^(q_t)</w:t>
        <w:br/>
        <w:br/>
        <w:t>Application:</w:t>
        <w:br/>
        <w:t>y_t = sum_(s in S) L_(t,s) x_s</w:t>
        <w:br/>
        <w:br/>
        <w:t>Composition:</w:t>
        <w:br/>
        <w:t>(L o M)_(t,s) = sum_(u in U) L_(t,u) M_(u,s)</w:t>
        <w:br/>
        <w:br/>
        <w:t>Peirce decomposition:</w:t>
        <w:br/>
        <w:t>End(H) = direct_sum_(t,s) e_t End(H) e_s</w:t>
        <w:br/>
        <w:br/>
        <w:t>Aligned weighted form:</w:t>
        <w:br/>
        <w:t>B_w(H,K) = sum_l w_l &lt;H_l,K_l&gt;</w:t>
        <w:br/>
        <w:br/>
        <w:t>Dimension-changing map:</w:t>
        <w:br/>
        <w:t>E_(t&lt;-s)(x) = P x</w:t>
        <w:br/>
        <w:br/>
        <w:t>Regularized inverse:</w:t>
        <w:br/>
        <w:t>P_plus_lambda =</w:t>
        <w:br/>
        <w:t xml:space="preserve">    V diag(sigma_i / (sigma_i^2 + lambda)) U^T</w:t>
        <w:br/>
        <w:br/>
        <w:t>Reconstruction error:</w:t>
        <w:br/>
        <w:t>e_rec(x) = ||x - x_hat||_2</w:t>
        <w:br/>
        <w:br/>
        <w:t>Blockwise compression:</w:t>
        <w:br/>
        <w:t>L_(t,s) ~= U_r Sigma_r V_r^T</w:t>
        <w:br/>
        <w:br/>
        <w:t>Global Frobenius error:</w:t>
        <w:br/>
        <w:t>||L - L_tilde||_F^2</w:t>
        <w:br/>
        <w:t xml:space="preserve">    = sum_(t,s) ||L_(t,s) - L_tilde_(t,s)||_F^2</w:t>
        <w:br/>
        <w:br/>
        <w:t>Quinary alphabet:</w:t>
        <w:br/>
        <w:t>Q = {-2, -1, 0, +1, +2}</w:t>
        <w:br/>
        <w:br/>
        <w:t>Activity mask:</w:t>
        <w:br/>
        <w:t>A = M1 OR M2</w:t>
        <w:br/>
        <w:br/>
        <w:t>Bit-plane invariants:</w:t>
        <w:br/>
        <w:t>M1 AND M2 = 0</w:t>
        <w:br/>
        <w:t>S AND (NOT A) = 0</w:t>
        <w:br/>
        <w:br/>
        <w:t>Reference sparsity wall:</w:t>
        <w:br/>
        <w:t>||A||_0 &lt;= 307</w:t>
        <w:br/>
        <w:br/>
        <w:t>Quinary binding:</w:t>
        <w:br/>
        <w:t>(q tensor r)_i = 0</w:t>
        <w:br/>
        <w:t xml:space="preserve">    if q_i = 0 or r_i = 0</w:t>
        <w:br/>
        <w:t>otherwise</w:t>
        <w:br/>
        <w:t>(q tensor r)_i =</w:t>
        <w:br/>
        <w:t xml:space="preserve">    sign(q_i r_i) * min(|q_i|, |r_i|)</w:t>
        <w:br/>
        <w:br/>
        <w:t>Partial unbind:</w:t>
        <w:br/>
        <w:t>{EXACT, AMBIGUOUS, UNKNOWN, IMPOSSIBLE}</w:t>
      </w:r>
    </w:p>
    <w:p>
      <w:pPr>
        <w:pStyle w:val="Heading1"/>
      </w:pPr>
      <w:r>
        <w:t>Appendix B. Minimal Implementation Checklist</w:t>
      </w:r>
    </w:p>
    <w:p>
      <w:pPr>
        <w:pStyle w:val="CodeBlock"/>
        <w:shd w:fill="F3F6F8"/>
        <w:pBdr>
          <w:left w:val="single" w:sz="12" w:space="5" w:color="6C8EAD"/>
        </w:pBdr>
      </w:pPr>
      <w:r>
        <w:t>[ ] labels have stable identifiers</w:t>
        <w:br/>
        <w:t>[ ] label order is explicit</w:t>
        <w:br/>
        <w:t>[ ] dimensions are validated</w:t>
        <w:br/>
        <w:t>[ ] source and target schemas are distinct</w:t>
        <w:br/>
        <w:t>[ ] zero-block meaning is declared</w:t>
        <w:br/>
        <w:t>[ ] unknown mapping is not silently zero</w:t>
        <w:br/>
        <w:t>[ ] missing values are not silently numeric zero</w:t>
        <w:br/>
        <w:t>[ ] compatibility matrices are classified:</w:t>
        <w:br/>
        <w:t xml:space="preserve">        SPD -&gt; inner product</w:t>
        <w:br/>
        <w:t xml:space="preserve">        PSD singular -&gt; seminorm</w:t>
        <w:br/>
        <w:t xml:space="preserve">        otherwise -&gt; compatibility score</w:t>
        <w:br/>
        <w:t>[ ] dimension-changing maps have transform IDs</w:t>
        <w:br/>
        <w:t>[ ] rank / distortion / regularization are recorded</w:t>
        <w:br/>
        <w:t>[ ] inverse-shaped maps reverse source/target roles</w:t>
        <w:br/>
        <w:t>[ ] low-rank approximation records error budget</w:t>
        <w:br/>
        <w:t>[ ] quinary bit-plane invariants are tested</w:t>
        <w:br/>
        <w:t>[ ] partial unbind returns epistemic status</w:t>
        <w:br/>
        <w:t>[ ] ANN similarity remains advisory</w:t>
        <w:br/>
        <w:t>[ ] speculative extensions are not load-bearing</w:t>
        <w:br/>
        <w:t>[ ] performance claims point to benchmarks or remain hypotheses</w:t>
      </w:r>
    </w:p>
    <w:sectPr w:rsidR="00FC693F" w:rsidRPr="0006063C" w:rsidSect="00034616">
      <w:headerReference w:type="default" r:id="rId9"/>
      <w:footerReference w:type="default" r:id="rId10"/>
      <w:pgSz w:w="12240" w:h="15840"/>
      <w:pgMar w:top="1080" w:right="1181" w:bottom="1037" w:left="1181"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46464"/>
        <w:sz w:val="16"/>
      </w:rPr>
      <w:t xml:space="preserve">HTLA | 2026-08-31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A646E"/>
        <w:sz w:val="15"/>
      </w:rPr>
      <w:t>PROJECT NEXUS 4 | HTLA | TIER-2 SUBSYSTEM-MATH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4" w:lineRule="auto"/>
    </w:pPr>
    <w:rPr>
      <w:rFonts w:ascii="Liberation Serif" w:hAnsi="Liberation Serif" w:eastAsia="Liberation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eastAsia="Liberation Sans"/>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eastAsia="Liberation Sans"/>
      <w:b/>
      <w:bCs/>
      <w:color w:val="274C77"/>
      <w:sz w:val="29"/>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eastAsia="Liberation Sans"/>
      <w:b/>
      <w:bCs/>
      <w:color w:val="365F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F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536B8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317" w:right="144"/>
    </w:pPr>
    <w:rPr>
      <w:rFonts w:ascii="DejaVu Sans Mono" w:hAnsi="DejaVu Sans Mono" w:eastAsia="DejaVu Sans Mono"/>
      <w:sz w:val="16"/>
    </w:rPr>
  </w:style>
  <w:style w:type="paragraph" w:customStyle="1" w:styleId="Equation">
    <w:name w:val="Equation"/>
    <w:pPr>
      <w:spacing w:before="60" w:after="100"/>
    </w:pPr>
    <w:rPr>
      <w:rFonts w:ascii="Liberation Serif" w:hAnsi="Liberation Serif" w:eastAsia="Liberation Serif"/>
      <w:i/>
      <w:sz w:val="21"/>
    </w:rPr>
  </w:style>
  <w:style w:type="paragraph" w:customStyle="1" w:styleId="SmallNote">
    <w:name w:val="Small Note"/>
    <w:rPr>
      <w:rFonts w:ascii="Liberation Sans" w:hAnsi="Liberation Sans" w:eastAsia="Liberation Sans"/>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Hypervector Linear Transdimensional Algebra (HTLA)</dc:title>
  <dc:subject>Project Nexus 4 Tier-2 subsystem-math source / S8 replacement candidate</dc:subject>
  <dc:creator>Project Nexus</dc:creator>
  <cp:keywords/>
  <dc:description>Rewritten 2026-08-31 from HTLA draft, deep research audit, canonical monograph constraints, and executed numerical verification.</dc:description>
  <cp:lastModifiedBy/>
  <cp:revision>1</cp:revision>
  <dcterms:created xsi:type="dcterms:W3CDTF">2013-12-23T23:15:00Z</dcterms:created>
  <dcterms:modified xsi:type="dcterms:W3CDTF">2013-12-23T23:15:00Z</dcterms:modified>
  <cp:category/>
</cp:coreProperties>
</file>