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3" w:name="content"/>
    <w:bookmarkStart w:id="42" w:name="Xe8a7fde59ff0e6787f9c4ef57841276372f2ca0"/>
    <w:p>
      <w:pPr>
        <w:pStyle w:val="Heading1"/>
      </w:pPr>
      <w:r>
        <w:t xml:space="preserve">Hypervector Linear Transdimensional Algebra as a Labeled Direct-Sum Calculus for Project Nexus</w:t>
      </w:r>
    </w:p>
    <w:bookmarkStart w:id="19" w:name="executive-summary-and-abstract"/>
    <w:p>
      <w:pPr>
        <w:pStyle w:val="Heading2"/>
      </w:pPr>
      <w:r>
        <w:t xml:space="preserve">Executive summary and abstract</w:t>
      </w:r>
    </w:p>
    <w:p>
      <w:pPr>
        <w:pStyle w:val="FirstParagraph"/>
      </w:pPr>
      <w:r>
        <w:t xml:space="preserve">The supplied Nexus rewrite specification identifies HTLA as the labeled-state linear calculus beneath HVD, HTNLA, and the project’s quinary reference geometry, with the replacement document intended to occupy the existing S8 Tier 2 subsystem-math role rather than modify higher-tier architecture. It also fixes the project-level claim-status vocabulary, the quinary encoding contract, typed missingness, and the epistemic partial-unbinding states</w:t>
      </w:r>
      <w:r>
        <w:t xml:space="preserve"> </w:t>
      </w:r>
      <w:r>
        <w:rPr>
          <w:rStyle w:val="VerbatimChar"/>
        </w:rPr>
        <w:t xml:space="preserve">EXACT / AMBIGUOUS / UNKNOWN / IMPOSSIBLE</w:t>
      </w:r>
      <w:r>
        <w:t xml:space="preserve">. fileciteturn0file0</w:t>
      </w:r>
    </w:p>
    <w:p>
      <w:pPr>
        <w:pStyle w:val="BodyText"/>
      </w:pPr>
      <w:r>
        <w:t xml:space="preserve">The research supports a substantially narrower and stronger mathematical paper than the draft described in that specification. HTLA should be presented as a</w:t>
      </w:r>
      <w:r>
        <w:t xml:space="preserve"> </w:t>
      </w:r>
      <w:r>
        <w:rPr>
          <w:b/>
          <w:bCs/>
        </w:rPr>
        <w:t xml:space="preserve">labeled finite direct-sum calculus with block-structured linear maps, explicit recoverability contracts, and a software-facing epistemic layer</w:t>
      </w:r>
      <w:r>
        <w:t xml:space="preserve">. The direct sum, block operators, regularized inverses, Johnson–Lindenstrauss embeddings, singular-value compression, and concentration inequalities are established mathematics and should be attributed as such. The paper-specific contribution is their assembly with Nexus’s labeled-state interface, typed missingness, deterministic quinary encoding contract, and explicit recoverability states. Nothing in the literature review supports claiming that direct sums, block matrices, named dimensions, sparse conditional computation, or approximate unbinding originate with HTLA. Named Tensor Notation already supplies semantically named tensor axes; xarray supplies labeled multidimensional arrays; Pint supplies unit-aware numerical operations; vector-symbolic architectures already confront approximate/non-exact unbinding; and ring theory supplies exactly the idempotent/block decomposition needed for HTLA’s operator algebra.</w:t>
      </w:r>
      <w:r>
        <w:t xml:space="preserve"> </w:t>
      </w:r>
      <w:hyperlink r:id="rId10">
        <w:r>
          <w:rPr>
            <w:rStyle w:val="Hyperlink"/>
          </w:rPr>
          <w:t xml:space="preserve">[1]</w:t>
        </w:r>
      </w:hyperlink>
    </w:p>
    <w:p>
      <w:pPr>
        <w:pStyle w:val="BodyText"/>
      </w:pPr>
      <w:r>
        <w:t xml:space="preserve">The key algebraic repair is to eliminate the draft’s “graded</w:t>
      </w:r>
      <w:r>
        <w:t xml:space="preserve"> </w:t>
      </w:r>
      <m:oMath>
        <m:r>
          <m:rPr>
            <m:scr m:val="double-struck"/>
            <m:sty m:val="p"/>
          </m:rPr>
          <m:t>R</m:t>
        </m:r>
      </m:oMath>
      <w:r>
        <w:t xml:space="preserve">-algebra” terminology. With label projections</w:t>
      </w:r>
      <w:r>
        <w:t xml:space="preserve"> </w:t>
      </w:r>
      <m:oMath>
        <m:sSub>
          <m:e>
            <m:r>
              <m:t>e</m:t>
            </m:r>
          </m:e>
          <m:sub>
            <m:r>
              <m:t>ℓ</m:t>
            </m:r>
          </m:sub>
        </m:sSub>
      </m:oMath>
      <w:r>
        <w:t xml:space="preserve">, the mathematically appropriate structure is a</w:t>
      </w:r>
      <w:r>
        <w:t xml:space="preserve"> </w:t>
      </w:r>
      <w:r>
        <w:rPr>
          <w:b/>
          <w:bCs/>
        </w:rPr>
        <w:t xml:space="preserve">Peirce decomposition</w:t>
      </w:r>
    </w:p>
    <w:p>
      <w:pPr>
        <w:pStyle w:val="BodyText"/>
      </w:pPr>
      <m:oMathPara>
        <m:oMathParaPr>
          <m:jc m:val="center"/>
        </m:oMathParaPr>
        <m:oMath>
          <m:r>
            <m:rPr>
              <m:sty m:val="p"/>
            </m:rPr>
            <m:t>End</m:t>
          </m:r>
          <m:r>
            <m:rPr>
              <m:sty m:val="p"/>
            </m:rPr>
            <m:t>(</m:t>
          </m:r>
          <m:r>
            <m:rPr>
              <m:scr m:val="script"/>
              <m:sty m:val="p"/>
            </m:rPr>
            <m:t>H</m:t>
          </m:r>
          <m:r>
            <m:rPr>
              <m:sty m:val="p"/>
            </m:rPr>
            <m:t>)</m:t>
          </m:r>
          <m:r>
            <m:rPr>
              <m:sty m:val="p"/>
            </m:rPr>
            <m:t>=</m:t>
          </m:r>
          <m:sSub>
            <m:e>
              <m:r>
                <m:rPr>
                  <m:sty m:val="p"/>
                </m:rPr>
                <m:t>⨁</m:t>
              </m:r>
            </m:e>
            <m:sub>
              <m:r>
                <m:t>t</m:t>
              </m:r>
              <m:r>
                <m:rPr>
                  <m:sty m:val="p"/>
                </m:rPr>
                <m:t>,</m:t>
              </m:r>
              <m:r>
                <m:t>s</m:t>
              </m:r>
              <m:r>
                <m:rPr>
                  <m:sty m:val="p"/>
                </m:rPr>
                <m:t>∈</m:t>
              </m:r>
              <m:r>
                <m:t>L</m:t>
              </m:r>
            </m:sub>
          </m:sSub>
          <m:sSub>
            <m:e>
              <m:r>
                <m:t>e</m:t>
              </m:r>
            </m:e>
            <m:sub>
              <m:r>
                <m:t>t</m:t>
              </m:r>
            </m:sub>
          </m:sSub>
          <m:r>
            <m:rPr>
              <m:sty m:val="p"/>
            </m:rPr>
            <m:t>End</m:t>
          </m:r>
          <m:r>
            <m:rPr>
              <m:sty m:val="p"/>
            </m:rPr>
            <m:t>(</m:t>
          </m:r>
          <m:r>
            <m:rPr>
              <m:scr m:val="script"/>
              <m:sty m:val="p"/>
            </m:rPr>
            <m:t>H</m:t>
          </m:r>
          <m:r>
            <m:rPr>
              <m:sty m:val="p"/>
            </m:rPr>
            <m:t>)</m:t>
          </m:r>
          <m:sSub>
            <m:e>
              <m:r>
                <m:t>e</m:t>
              </m:r>
            </m:e>
            <m:sub>
              <m:r>
                <m:t>s</m:t>
              </m:r>
            </m:sub>
          </m:sSub>
          <m:r>
            <m:rPr>
              <m:sty m:val="p"/>
            </m:rPr>
            <m:t>,</m:t>
          </m:r>
        </m:oMath>
      </m:oMathPara>
    </w:p>
    <w:p>
      <w:pPr>
        <w:pStyle w:val="FirstParagraph"/>
      </w:pPr>
      <w:r>
        <w:t xml:space="preserve">and the label-indexed block spaces can equivalently be regarded as a finite preadditive category—a “ring with several objects” in Mitchell’s terminology. Rings equipped with complete systems of orthogonal idempotents are classically represented by precisely this generalized matrix/Peirce structure.</w:t>
      </w:r>
      <w:r>
        <w:t xml:space="preserve"> </w:t>
      </w:r>
      <w:hyperlink r:id="rId11">
        <w:r>
          <w:rPr>
            <w:rStyle w:val="Hyperlink"/>
          </w:rPr>
          <w:t xml:space="preserve">[2]</w:t>
        </w:r>
      </w:hyperlink>
    </w:p>
    <w:p>
      <w:pPr>
        <w:pStyle w:val="BodyText"/>
      </w:pPr>
      <w:r>
        <w:t xml:space="preserve">The categorical “faithful but not full” result described in the legacy draft should be deleted rather than repaired. Under the definition supplied in the rewrite specification—where the morphisms are already</w:t>
      </w:r>
      <w:r>
        <w:t xml:space="preserve"> </w:t>
      </w:r>
      <w:r>
        <w:rPr>
          <w:i/>
          <w:iCs/>
        </w:rPr>
        <w:t xml:space="preserve">all</w:t>
      </w:r>
      <w:r>
        <w:t xml:space="preserve"> </w:t>
      </w:r>
      <w:r>
        <w:t xml:space="preserve">linear maps between flattened spaces—the flattening map is full as well as faithful by definition. fileciteturn0file0 A sparse coupling graph could make a restricted-morphism category mathematically meaningful, but that additional structure should only be introduced if Nexus actually uses it as an operator constraint; it is unnecessary for the core HTLA paper.</w:t>
      </w:r>
    </w:p>
    <w:p>
      <w:pPr>
        <w:pStyle w:val="BodyText"/>
      </w:pPr>
      <w:r>
        <w:t xml:space="preserve">The weighted-similarity section needs an equally sharp correction. For</w:t>
      </w:r>
    </w:p>
    <w:p>
      <w:pPr>
        <w:pStyle w:val="BodyText"/>
      </w:pPr>
      <m:oMathPara>
        <m:oMathParaPr>
          <m:jc m:val="center"/>
        </m:oMathParaPr>
        <m:oMath>
          <m:sSub>
            <m:e>
              <m:r>
                <m:t>B</m:t>
              </m:r>
            </m:e>
            <m:sub>
              <m:r>
                <m:t>w</m:t>
              </m:r>
            </m:sub>
          </m:sSub>
          <m:r>
            <m:rPr>
              <m:sty m:val="p"/>
            </m:rPr>
            <m:t>(</m:t>
          </m:r>
          <m:r>
            <m:t>H</m:t>
          </m:r>
          <m:r>
            <m:rPr>
              <m:sty m:val="p"/>
            </m:rPr>
            <m:t>,</m:t>
          </m:r>
          <m:r>
            <m:t>K</m:t>
          </m:r>
          <m:r>
            <m:rPr>
              <m:sty m:val="p"/>
            </m:rPr>
            <m:t>)</m:t>
          </m:r>
          <m:r>
            <m:rPr>
              <m:sty m:val="p"/>
            </m:rPr>
            <m:t>=</m:t>
          </m:r>
          <m:nary>
            <m:naryPr>
              <m:chr m:val="∑"/>
              <m:limLoc m:val="undOvr"/>
              <m:subHide m:val="off"/>
              <m:supHide m:val="on"/>
            </m:naryPr>
            <m:sub>
              <m:r>
                <m:t>ℓ</m:t>
              </m:r>
              <m:r>
                <m:rPr>
                  <m:sty m:val="p"/>
                </m:rPr>
                <m:t>∈</m:t>
              </m:r>
              <m:r>
                <m:t>L</m:t>
              </m:r>
            </m:sub>
            <m:sup>
              <m:r>
                <m:t>​</m:t>
              </m:r>
            </m:sup>
            <m:e>
              <m:sSub>
                <m:e>
                  <m:r>
                    <m:t>w</m:t>
                  </m:r>
                </m:e>
                <m:sub>
                  <m:r>
                    <m:t>ℓ</m:t>
                  </m:r>
                </m:sub>
              </m:sSub>
            </m:e>
          </m:nary>
          <m:r>
            <m:rPr>
              <m:sty m:val="p"/>
            </m:rPr>
            <m:t>⟨</m:t>
          </m:r>
          <m:sSub>
            <m:e>
              <m:r>
                <m:t>H</m:t>
              </m:r>
            </m:e>
            <m:sub>
              <m:r>
                <m:t>ℓ</m:t>
              </m:r>
            </m:sub>
          </m:sSub>
          <m:r>
            <m:rPr>
              <m:sty m:val="p"/>
            </m:rPr>
            <m:t>,</m:t>
          </m:r>
          <m:sSub>
            <m:e>
              <m:r>
                <m:t>K</m:t>
              </m:r>
            </m:e>
            <m:sub>
              <m:r>
                <m:t>ℓ</m:t>
              </m:r>
            </m:sub>
          </m:sSub>
          <m:r>
            <m:rPr>
              <m:sty m:val="p"/>
            </m:rPr>
            <m:t>⟩</m:t>
          </m:r>
          <m:r>
            <m:rPr>
              <m:sty m:val="p"/>
            </m:rPr>
            <m:t>,</m:t>
          </m:r>
        </m:oMath>
      </m:oMathPara>
    </w:p>
    <w:p>
      <w:pPr>
        <w:pStyle w:val="FirstParagraph"/>
      </w:pPr>
      <w:r>
        <w:t xml:space="preserve">strictly positive weights yield an inner product; nonnegative weights with at least one zero-weight component yield only a positive-semidefinite form and a seminorm on the full state space. For a general cross-label matrix</w:t>
      </w:r>
      <w:r>
        <w:t xml:space="preserve"> </w:t>
      </w:r>
      <m:oMath>
        <m:r>
          <m:t>W</m:t>
        </m:r>
      </m:oMath>
      <w:r>
        <w:t xml:space="preserve">,</w:t>
      </w:r>
      <w:r>
        <w:t xml:space="preserve"> </w:t>
      </w:r>
      <m:oMath>
        <m:sSup>
          <m:e>
            <m:r>
              <m:t>H</m:t>
            </m:r>
          </m:e>
          <m:sup>
            <m:r>
              <m:rPr>
                <m:sty m:val="p"/>
              </m:rPr>
              <m:t>⊤</m:t>
            </m:r>
          </m:sup>
        </m:sSup>
        <m:r>
          <m:t>W</m:t>
        </m:r>
        <m:r>
          <m:t>K</m:t>
        </m:r>
      </m:oMath>
      <w:r>
        <w:t xml:space="preserve"> </w:t>
      </w:r>
      <w:r>
        <w:t xml:space="preserve">is an inner product exactly when</w:t>
      </w:r>
      <w:r>
        <w:t xml:space="preserve"> </w:t>
      </w:r>
      <m:oMath>
        <m:r>
          <m:t>W</m:t>
        </m:r>
      </m:oMath>
      <w:r>
        <w:t xml:space="preserve"> </w:t>
      </w:r>
      <w:r>
        <w:t xml:space="preserve">is symmetric positive definite; symmetric positive semidefiniteness without definiteness again gives a seminorm, while an asymmetric or indefinite</w:t>
      </w:r>
      <w:r>
        <w:t xml:space="preserve"> </w:t>
      </w:r>
      <m:oMath>
        <m:r>
          <m:t>W</m:t>
        </m:r>
      </m:oMath>
      <w:r>
        <w:t xml:space="preserve"> </w:t>
      </w:r>
      <w:r>
        <w:t xml:space="preserve">should be called a compatibility or similarity score. This follows directly from the defining positivity and symmetry axioms and closes the semantic gap identified in the supplied specification. fileciteturn0file0</w:t>
      </w:r>
    </w:p>
    <w:p>
      <w:pPr>
        <w:pStyle w:val="BodyText"/>
      </w:pPr>
      <w:r>
        <w:t xml:space="preserve">The numerical correction in the specification is confirmed by executed code. For the stated Tikhonov problem, the regularized solution is</w:t>
      </w:r>
    </w:p>
    <w:p>
      <w:pPr>
        <w:pStyle w:val="BodyText"/>
      </w:pPr>
      <m:oMathPara>
        <m:oMathParaPr>
          <m:jc m:val="center"/>
        </m:oMathParaPr>
        <m:oMath>
          <m:r>
            <m:t>H</m:t>
          </m:r>
          <m:r>
            <m:rPr>
              <m:sty m:val="p"/>
            </m:rPr>
            <m:t>=</m:t>
          </m:r>
          <m:r>
            <m:rPr>
              <m:sty m:val="p"/>
            </m:rPr>
            <m:t>[</m:t>
          </m:r>
          <m:r>
            <m:t>0.694151134</m:t>
          </m:r>
          <m:r>
            <m:rPr>
              <m:sty m:val="p"/>
            </m:rPr>
            <m:t>,</m:t>
          </m:r>
          <m:r>
            <m:t> </m:t>
          </m:r>
          <m:r>
            <m:t>1.2716922229</m:t>
          </m:r>
          <m:r>
            <m:rPr>
              <m:sty m:val="p"/>
            </m:rPr>
            <m:t>,</m:t>
          </m:r>
          <m:r>
            <m:t> </m:t>
          </m:r>
          <m:r>
            <m:t>1.6352951979</m:t>
          </m:r>
          <m:sSup>
            <m:e>
              <m:r>
                <m:rPr>
                  <m:sty m:val="p"/>
                </m:rPr>
                <m:t>]</m:t>
              </m:r>
            </m:e>
            <m:sup>
              <m:r>
                <m:rPr>
                  <m:sty m:val="p"/>
                </m:rPr>
                <m:t>⊤</m:t>
              </m:r>
            </m:sup>
          </m:sSup>
        </m:oMath>
      </m:oMathPara>
    </w:p>
    <w:p>
      <w:pPr>
        <w:pStyle w:val="FirstParagraph"/>
      </w:pPr>
      <w:r>
        <w:t xml:space="preserve">and the Euclidean residual is</w:t>
      </w:r>
    </w:p>
    <w:p>
      <w:pPr>
        <w:pStyle w:val="BodyText"/>
      </w:pPr>
      <m:oMathPara>
        <m:oMathParaPr>
          <m:jc m:val="center"/>
        </m:oMathParaPr>
        <m:oMath>
          <m:r>
            <m:t>0.10517212503221</m:t>
          </m:r>
          <m:r>
            <m:rPr>
              <m:sty m:val="p"/>
            </m:rPr>
            <m:t>.</m:t>
          </m:r>
        </m:oMath>
      </m:oMathPara>
    </w:p>
    <w:p>
      <w:pPr>
        <w:pStyle w:val="FirstParagraph"/>
      </w:pPr>
      <w:r>
        <w:t xml:space="preserve">The same result was independently obtained in the executed artifact from the singular-value formula and the regularized normal equations, with a maximum componentwise difference of</w:t>
      </w:r>
      <w:r>
        <w:t xml:space="preserve"> </w:t>
      </w:r>
      <m:oMath>
        <m:r>
          <m:t>8.8817841970012523</m:t>
        </m:r>
        <m:r>
          <m:rPr>
            <m:sty m:val="p"/>
          </m:rPr>
          <m:t>×</m:t>
        </m:r>
        <m:sSup>
          <m:e>
            <m:r>
              <m:t>10</m:t>
            </m:r>
          </m:e>
          <m:sup>
            <m:r>
              <m:rPr>
                <m:sty m:val="p"/>
              </m:rPr>
              <m:t>−</m:t>
            </m:r>
            <m:r>
              <m:t>16</m:t>
            </m:r>
          </m:sup>
        </m:sSup>
      </m:oMath>
      <w:r>
        <w:t xml:space="preserve">. These values come from the executed verification artifact rather than a narrated calculation:</w:t>
      </w:r>
      <w:r>
        <w:t xml:space="preserve"> </w:t>
      </w:r>
      <w:hyperlink r:id="rId12">
        <w:r>
          <w:rPr>
            <w:rStyle w:val="Hyperlink"/>
          </w:rPr>
          <w:t xml:space="preserve">verification script</w:t>
        </w:r>
      </w:hyperlink>
      <w:r>
        <w:t xml:space="preserve"> </w:t>
      </w:r>
      <w:r>
        <w:t xml:space="preserve">and</w:t>
      </w:r>
      <w:r>
        <w:t xml:space="preserve"> </w:t>
      </w:r>
      <w:hyperlink r:id="rId13">
        <w:r>
          <w:rPr>
            <w:rStyle w:val="Hyperlink"/>
          </w:rPr>
          <w:t xml:space="preserve">captured output</w:t>
        </w:r>
      </w:hyperlink>
      <w:r>
        <w:t xml:space="preserve">.</w:t>
      </w:r>
    </w:p>
    <w:p>
      <w:pPr>
        <w:pStyle w:val="BodyText"/>
      </w:pPr>
      <w:r>
        <w:t xml:space="preserve">The reference</w:t>
      </w:r>
      <w:r>
        <w:t xml:space="preserve"> </w:t>
      </w:r>
      <w:r>
        <w:rPr>
          <w:rStyle w:val="VerbatimChar"/>
        </w:rPr>
        <w:t xml:space="preserve">BlockOperator.pseudoinverse</w:t>
      </w:r>
      <w:r>
        <w:t xml:space="preserve"> </w:t>
      </w:r>
      <w:r>
        <w:t xml:space="preserve">repair was also executed. The corrected implementation reverses the type direction of the pseudoinverse—old target labels become inverse source labels, and old source labels become inverse target labels—and uses ordered label sequences for position-dependent slicing. In the executed test, the returned operator agrees with NumPy’s dense pseudoinverse and satisfies both tested Penrose identities. The test output is preserved in the same</w:t>
      </w:r>
      <w:r>
        <w:t xml:space="preserve"> </w:t>
      </w:r>
      <w:hyperlink r:id="rId13">
        <w:r>
          <w:rPr>
            <w:rStyle w:val="Hyperlink"/>
          </w:rPr>
          <w:t xml:space="preserve">captured execution record</w:t>
        </w:r>
      </w:hyperlink>
      <w:r>
        <w:t xml:space="preserve">.</w:t>
      </w:r>
    </w:p>
    <w:p>
      <w:pPr>
        <w:pStyle w:val="BodyText"/>
      </w:pPr>
      <w:r>
        <w:t xml:space="preserve">The literature review does</w:t>
      </w:r>
      <w:r>
        <w:t xml:space="preserve"> </w:t>
      </w:r>
      <w:r>
        <w:rPr>
          <w:b/>
          <w:bCs/>
        </w:rPr>
        <w:t xml:space="preserve">not</w:t>
      </w:r>
      <w:r>
        <w:t xml:space="preserve"> </w:t>
      </w:r>
      <w:r>
        <w:t xml:space="preserve">support a general</w:t>
      </w:r>
      <w:r>
        <w:t xml:space="preserve"> </w:t>
      </w:r>
      <m:oMath>
        <m:r>
          <m:t>O</m:t>
        </m:r>
        <m:r>
          <m:rPr>
            <m:sty m:val="p"/>
          </m:rPr>
          <m:t>(</m:t>
        </m:r>
        <m:r>
          <m:rPr>
            <m:sty m:val="p"/>
          </m:rPr>
          <m:t>log</m:t>
        </m:r>
        <m:r>
          <m:rPr>
            <m:sty m:val="p"/>
          </m:rPr>
          <m:t>|</m:t>
        </m:r>
        <m:r>
          <m:t>L</m:t>
        </m:r>
        <m:r>
          <m:rPr>
            <m:sty m:val="p"/>
          </m:rPr>
          <m:t>|</m:t>
        </m:r>
        <m:r>
          <m:rPr>
            <m:sty m:val="p"/>
          </m:rPr>
          <m:t>)</m:t>
        </m:r>
      </m:oMath>
      <w:r>
        <w:t xml:space="preserve"> </w:t>
      </w:r>
      <w:r>
        <w:t xml:space="preserve">gradient-cost theorem. Sparse mixture-of-experts work shows that conditional activation can make computation grow much more slowly than total parameter capacity and, under particular routing designs, keep per-example expert computation bounded while model capacity increases. It does not establish a generic logarithmic backward-pass complexity in the number of HTLA labels.</w:t>
      </w:r>
      <w:r>
        <w:t xml:space="preserve"> </w:t>
      </w:r>
      <w:hyperlink r:id="rId14">
        <w:r>
          <w:rPr>
            <w:rStyle w:val="Hyperlink"/>
          </w:rPr>
          <w:t xml:space="preserve">[3]</w:t>
        </w:r>
      </w:hyperlink>
      <w:r>
        <w:t xml:space="preserve"> </w:t>
      </w:r>
      <w:r>
        <w:t xml:space="preserve">The claim should therefore disappear from the core mathematics. At most it can survive as</w:t>
      </w:r>
      <w:r>
        <w:t xml:space="preserve"> </w:t>
      </w:r>
      <w:r>
        <w:rPr>
          <w:rStyle w:val="VerbatimChar"/>
        </w:rPr>
        <w:t xml:space="preserve">RESEARCH HYPOTHESIS</w:t>
      </w:r>
      <w:r>
        <w:t xml:space="preserve">, with assumptions on coupling sparsity and routing cost and a falsification experiment that separately measures router, active-block, communication, and backward costs.</w:t>
      </w:r>
    </w:p>
    <w:p>
      <w:pPr>
        <w:pStyle w:val="BodyText"/>
      </w:pPr>
      <w:r>
        <w:t xml:space="preserve">The heavy-tail concentration appendix likewise needs replacement, not cosmetic editing. Rudelson and Vershynin’s Hanson–Wright inequality has a quadratic-</w:t>
      </w:r>
      <m:oMath>
        <m:r>
          <m:t>t</m:t>
        </m:r>
      </m:oMath>
      <w:r>
        <w:t xml:space="preserve"> </w:t>
      </w:r>
      <w:r>
        <w:t xml:space="preserve">Frobenius-norm regime and a</w:t>
      </w:r>
      <w:r>
        <w:t xml:space="preserve"> </w:t>
      </w:r>
      <w:r>
        <w:rPr>
          <w:b/>
          <w:bCs/>
        </w:rPr>
        <w:t xml:space="preserve">linear-</w:t>
      </w:r>
      <m:oMath>
        <m:r>
          <m:t>t</m:t>
        </m:r>
      </m:oMath>
      <w:r>
        <w:t xml:space="preserve"> </w:t>
      </w:r>
      <w:r>
        <w:t xml:space="preserve">operator-norm regime.</w:t>
      </w:r>
      <w:r>
        <w:t xml:space="preserve"> </w:t>
      </w:r>
      <w:hyperlink r:id="rId15">
        <w:r>
          <w:rPr>
            <w:rStyle w:val="Hyperlink"/>
          </w:rPr>
          <w:t xml:space="preserve">[4]</w:t>
        </w:r>
      </w:hyperlink>
      <w:r>
        <w:t xml:space="preserve"> </w:t>
      </w:r>
      <w:r>
        <w:t xml:space="preserve">Real extensions to</w:t>
      </w:r>
      <w:r>
        <w:t xml:space="preserve"> </w:t>
      </w:r>
      <m:oMath>
        <m:r>
          <m:t>α</m:t>
        </m:r>
      </m:oMath>
      <w:r>
        <w:t xml:space="preserve">-sub-exponential variables exist, but Götze, Sambale, and Sinulis derive multi-level bounds involving several matrix norms; the literature does not justify obtaining a heavy-tail theorem by simply changing the exponents in the sub-Gaussian two-term formula.</w:t>
      </w:r>
      <w:r>
        <w:t xml:space="preserve"> </w:t>
      </w:r>
      <w:hyperlink r:id="rId16">
        <w:r>
          <w:rPr>
            <w:rStyle w:val="Hyperlink"/>
          </w:rPr>
          <w:t xml:space="preserve">[5]</w:t>
        </w:r>
      </w:hyperlink>
      <w:r>
        <w:t xml:space="preserve"> </w:t>
      </w:r>
      <w:r>
        <w:t xml:space="preserve">The cleanest core paper should therefore state the standard Hanson–Wright theorem correctly and move any heavy-tail extension to a cited, theorem-specific appendix.</w:t>
      </w:r>
    </w:p>
    <w:p>
      <w:pPr>
        <w:pStyle w:val="BodyText"/>
      </w:pPr>
      <w:r>
        <w:t xml:space="preserve">Quantum block encoding and persistent homology should also remain outside the working mathematics. Qubitization and quantum singular-value transformation are genuine generic operator tools, but the reviewed literature supplies no label- or Peirce-specific quantum advantage for HTLA.</w:t>
      </w:r>
      <w:r>
        <w:t xml:space="preserve"> </w:t>
      </w:r>
      <w:hyperlink r:id="rId17">
        <w:r>
          <w:rPr>
            <w:rStyle w:val="Hyperlink"/>
          </w:rPr>
          <w:t xml:space="preserve">[6]</w:t>
        </w:r>
      </w:hyperlink>
      <w:r>
        <w:t xml:space="preserve"> </w:t>
      </w:r>
      <w:r>
        <w:t xml:space="preserve">Zigzag persistence genuinely addresses topology that changes through a sequence of spaces or complexes and could become relevant to a time-varying Nexus coupling graph, but a sparse quinary vector by itself does not specify the filtration or topological object required for such an analysis.</w:t>
      </w:r>
      <w:r>
        <w:t xml:space="preserve"> </w:t>
      </w:r>
      <w:hyperlink r:id="rId18">
        <w:r>
          <w:rPr>
            <w:rStyle w:val="Hyperlink"/>
          </w:rPr>
          <w:t xml:space="preserve">[7]</w:t>
        </w:r>
      </w:hyperlink>
      <w:r>
        <w:t xml:space="preserve"> </w:t>
      </w:r>
      <w:r>
        <w:t xml:space="preserve">Both belong behind a</w:t>
      </w:r>
      <w:r>
        <w:t xml:space="preserve"> </w:t>
      </w:r>
      <w:r>
        <w:rPr>
          <w:rStyle w:val="VerbatimChar"/>
        </w:rPr>
        <w:t xml:space="preserve">RESEARCH HYPOTHESIS</w:t>
      </w:r>
      <w:r>
        <w:t xml:space="preserve"> </w:t>
      </w:r>
      <w:r>
        <w:t xml:space="preserve">boundary.</w:t>
      </w:r>
    </w:p>
    <w:p>
      <w:pPr>
        <w:pStyle w:val="BodyText"/>
      </w:pPr>
      <w:r>
        <w:t xml:space="preserve">A material limitation remains: the artifact available here is the rewrite specification itself. It refers to a current HTLA draft and a higher-rigor companion chapter, but those manuscripts are not contained in the material available for this analysis. fileciteturn0file0 Accordingly, this report can supply the replacement mathematical spine, source-backed dispositions, executed correction code, and claim audit, but it cannot certify that every sentence, theorem, self-citation, benchmark table, or speculative passage in the unseen manuscripts has been removed. Publication venue, target manuscript length, repository revision, implementation commit, and code-license requirements are likewise unspecified.</w:t>
      </w:r>
    </w:p>
    <w:bookmarkEnd w:id="19"/>
    <w:bookmarkStart w:id="21" w:name="Xedd6b79bae12b8b56065bcc4e9944f6e7c34352"/>
    <w:p>
      <w:pPr>
        <w:pStyle w:val="Heading2"/>
      </w:pPr>
      <w:r>
        <w:t xml:space="preserve">Scope, architectural boundary, and research questions</w:t>
      </w:r>
    </w:p>
    <w:p>
      <w:pPr>
        <w:pStyle w:val="FirstParagraph"/>
      </w:pPr>
      <w:r>
        <w:t xml:space="preserve">The safe scope is narrower than a general theory of “dimension-agnostic machine learning.” HTLA can rigorously describe a finite family of labeled component spaces, linear transformations between them, similarity structures that respect their labels, dimension-changing linear maps with explicit distortion/recoverability statements, and low-rank compression of the resulting blocks. HTNLA begins where nonlinear maps enter. The Nexus-specific quinary representation and epistemic unbinding states should appear as an</w:t>
      </w:r>
      <w:r>
        <w:t xml:space="preserve"> </w:t>
      </w:r>
      <w:r>
        <w:rPr>
          <w:b/>
          <w:bCs/>
        </w:rPr>
        <w:t xml:space="preserve">application contract layered on the calculus</w:t>
      </w:r>
      <w:r>
        <w:t xml:space="preserve">, rather than as consequences of abstract linear algebra. That division respects the supplied Tier 2 constraint. fileciteturn0file0</w:t>
      </w:r>
    </w:p>
    <w:p>
      <w:pPr>
        <w:pStyle w:val="BodyText"/>
      </w:pPr>
      <w:r>
        <w:t xml:space="preserve">The project specification fixes a reference quinary alphabet</w:t>
      </w:r>
      <w:r>
        <w:t xml:space="preserve"> </w:t>
      </w:r>
      <m:oMath>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2</m:t>
        </m:r>
        <m:r>
          <m:rPr>
            <m:sty m:val="p"/>
          </m:rPr>
          <m:t>}</m:t>
        </m:r>
      </m:oMath>
      <w:r>
        <w:t xml:space="preserve">, coordinate dimension</w:t>
      </w:r>
      <w:r>
        <w:t xml:space="preserve"> </w:t>
      </w:r>
      <m:oMath>
        <m:r>
          <m:t>d</m:t>
        </m:r>
        <m:r>
          <m:rPr>
            <m:sty m:val="p"/>
          </m:rPr>
          <m:t>=</m:t>
        </m:r>
        <m:r>
          <m:t>1024</m:t>
        </m:r>
      </m:oMath>
      <w:r>
        <w:t xml:space="preserve">, sign and magnitude bit planes, invariants</w:t>
      </w:r>
      <w:r>
        <w:t xml:space="preserve"> </w:t>
      </w:r>
      <m:oMath>
        <m:sSub>
          <m:e>
            <m:r>
              <m:t>M</m:t>
            </m:r>
          </m:e>
          <m:sub>
            <m:r>
              <m:t>1</m:t>
            </m:r>
          </m:sub>
        </m:sSub>
        <m:r>
          <m:rPr>
            <m:sty m:val="p"/>
          </m:rPr>
          <m:t>∧</m:t>
        </m:r>
        <m:sSub>
          <m:e>
            <m:r>
              <m:t>M</m:t>
            </m:r>
          </m:e>
          <m:sub>
            <m:r>
              <m:t>2</m:t>
            </m:r>
          </m:sub>
        </m:sSub>
        <m:r>
          <m:rPr>
            <m:sty m:val="p"/>
          </m:rPr>
          <m:t>=</m:t>
        </m:r>
        <m:r>
          <m:t>0</m:t>
        </m:r>
      </m:oMath>
      <w:r>
        <w:t xml:space="preserve"> </w:t>
      </w:r>
      <w:r>
        <w:t xml:space="preserve">and</w:t>
      </w:r>
      <w:r>
        <w:t xml:space="preserve"> </w:t>
      </w:r>
      <m:oMath>
        <m:r>
          <m:t>S</m:t>
        </m:r>
        <m:r>
          <m:rPr>
            <m:sty m:val="p"/>
          </m:rPr>
          <m:t>∧</m:t>
        </m:r>
        <m:r>
          <m:rPr>
            <m:sty m:val="p"/>
          </m:rPr>
          <m:t>¬</m:t>
        </m:r>
        <m:r>
          <m:t>A</m:t>
        </m:r>
        <m:r>
          <m:rPr>
            <m:sty m:val="p"/>
          </m:rPr>
          <m:t>=</m:t>
        </m:r>
        <m:r>
          <m:t>0</m:t>
        </m:r>
      </m:oMath>
      <w:r>
        <w:t xml:space="preserve">, a reference occupancy wall</w:t>
      </w:r>
      <w:r>
        <w:t xml:space="preserve"> </w:t>
      </w:r>
      <w:r>
        <w:t xml:space="preserve">$K_{\rm wall}=307$</w:t>
      </w:r>
      <w:r>
        <w:t xml:space="preserve">, and approximately</w:t>
      </w:r>
      <w:r>
        <w:t xml:space="preserve"> </w:t>
      </w:r>
      <m:oMath>
        <m:r>
          <m:t>70.02</m:t>
        </m:r>
        <m:r>
          <m:rPr>
            <m:sty m:val="p"/>
          </m:rPr>
          <m:t>%</m:t>
        </m:r>
      </m:oMath>
      <w:r>
        <w:t xml:space="preserve"> </w:t>
      </w:r>
      <w:r>
        <w:t xml:space="preserve">structural vacuum under that implementation constraint. It further states that binding is intentionally information-losing and that unbinding can terminate in</w:t>
      </w:r>
      <w:r>
        <w:t xml:space="preserve"> </w:t>
      </w:r>
      <w:r>
        <w:rPr>
          <w:rStyle w:val="VerbatimChar"/>
        </w:rPr>
        <w:t xml:space="preserve">EXACT</w:t>
      </w:r>
      <w:r>
        <w:t xml:space="preserve">,</w:t>
      </w:r>
      <w:r>
        <w:t xml:space="preserve"> </w:t>
      </w:r>
      <w:r>
        <w:rPr>
          <w:rStyle w:val="VerbatimChar"/>
        </w:rPr>
        <w:t xml:space="preserve">AMBIGUOUS</w:t>
      </w:r>
      <w:r>
        <w:t xml:space="preserve">,</w:t>
      </w:r>
      <w:r>
        <w:t xml:space="preserve"> </w:t>
      </w:r>
      <w:r>
        <w:rPr>
          <w:rStyle w:val="VerbatimChar"/>
        </w:rPr>
        <w:t xml:space="preserve">UNKNOWN</w:t>
      </w:r>
      <w:r>
        <w:t xml:space="preserve">, or</w:t>
      </w:r>
      <w:r>
        <w:t xml:space="preserve"> </w:t>
      </w:r>
      <w:r>
        <w:rPr>
          <w:rStyle w:val="VerbatimChar"/>
        </w:rPr>
        <w:t xml:space="preserve">IMPOSSIBLE</w:t>
      </w:r>
      <w:r>
        <w:t xml:space="preserve">. Those facts are project-level inputs to HTLA, not mathematical consequences established by the present literature survey. fileciteturn0file0 In the replacement paper they should therefore be marked</w:t>
      </w:r>
      <w:r>
        <w:t xml:space="preserve"> </w:t>
      </w:r>
      <w:r>
        <w:rPr>
          <w:rStyle w:val="VerbatimChar"/>
        </w:rPr>
        <w:t xml:space="preserve">APPLICATION-SPECIFIC</w:t>
      </w:r>
      <w:r>
        <w:t xml:space="preserve"> </w:t>
      </w:r>
      <w:r>
        <w:t xml:space="preserve">unless an attached implementation/test artifact independently elevates particular invariants to</w:t>
      </w:r>
      <w:r>
        <w:t xml:space="preserve"> </w:t>
      </w:r>
      <w:r>
        <w:rPr>
          <w:rStyle w:val="VerbatimChar"/>
        </w:rPr>
        <w:t xml:space="preserve">VERIFIED</w:t>
      </w:r>
      <w:r>
        <w:t xml:space="preserve">.</w:t>
      </w:r>
    </w:p>
    <w:p>
      <w:pPr>
        <w:pStyle w:val="BodyText"/>
      </w:pPr>
      <w:r>
        <w:t xml:space="preserve">The research questions resolve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Research issue</w:t>
            </w:r>
          </w:p>
        </w:tc>
        <w:tc>
          <w:tcPr/>
          <w:p>
            <w:pPr>
              <w:pStyle w:val="Compact"/>
            </w:pPr>
            <w:r>
              <w:t xml:space="preserve">Finding</w:t>
            </w:r>
          </w:p>
        </w:tc>
        <w:tc>
          <w:tcPr/>
          <w:p>
            <w:pPr>
              <w:pStyle w:val="Compact"/>
            </w:pPr>
            <w:r>
              <w:t xml:space="preserve">Disposition in replacement</w:t>
            </w:r>
          </w:p>
        </w:tc>
      </w:tr>
      <w:tr>
        <w:tc>
          <w:tcPr/>
          <w:p>
            <w:pPr>
              <w:pStyle w:val="Compact"/>
            </w:pPr>
            <w:r>
              <w:t xml:space="preserve">What mathematical structure actually describes labeled block operators?</w:t>
            </w:r>
          </w:p>
        </w:tc>
        <w:tc>
          <w:tcPr/>
          <w:p>
            <w:pPr>
              <w:pStyle w:val="Compact"/>
            </w:pPr>
            <w:r>
              <w:t xml:space="preserve">Orthogonal label projections produce a Peirce decomposition; the associated hom-spaces form a finite preadditive category/ring with several objects.</w:t>
            </w:r>
            <w:r>
              <w:t xml:space="preserve"> </w:t>
            </w:r>
            <w:hyperlink r:id="rId11">
              <w:r>
                <w:rPr>
                  <w:rStyle w:val="Hyperlink"/>
                </w:rPr>
                <w:t xml:space="preserve">[8]</w:t>
              </w:r>
            </w:hyperlink>
          </w:p>
        </w:tc>
        <w:tc>
          <w:tcPr/>
          <w:p>
            <w:pPr>
              <w:pStyle w:val="Compact"/>
            </w:pPr>
            <w:r>
              <w:rPr>
                <w:rStyle w:val="VerbatimChar"/>
              </w:rPr>
              <w:t xml:space="preserve">VERIFIED</w:t>
            </w:r>
            <w:r>
              <w:t xml:space="preserve">; replace algebra-grading language.</w:t>
            </w:r>
          </w:p>
        </w:tc>
      </w:tr>
      <w:tr>
        <w:tc>
          <w:tcPr/>
          <w:p>
            <w:pPr>
              <w:pStyle w:val="Compact"/>
            </w:pPr>
            <w:r>
              <w:t xml:space="preserve">Does Named Tensor Notation already solve the same problem?</w:t>
            </w:r>
          </w:p>
        </w:tc>
        <w:tc>
          <w:tcPr/>
          <w:p>
            <w:pPr>
              <w:pStyle w:val="Compact"/>
            </w:pPr>
            <w:r>
              <w:t xml:space="preserve">It formalizes tensors with named axes, named contractions, broadcasting, indexing, reshaping, and axis semantics. Its formal objects remain tensors over product-shaped collections of axes; it does not itself define the HTLA package of heterogeneous direct-sum components, block morphisms, typed missingness, and epistemic unbinding.</w:t>
            </w:r>
            <w:r>
              <w:t xml:space="preserve"> </w:t>
            </w:r>
            <w:hyperlink r:id="rId10">
              <w:r>
                <w:rPr>
                  <w:rStyle w:val="Hyperlink"/>
                </w:rPr>
                <w:t xml:space="preserve">[9]</w:t>
              </w:r>
            </w:hyperlink>
          </w:p>
        </w:tc>
        <w:tc>
          <w:tcPr/>
          <w:p>
            <w:pPr>
              <w:pStyle w:val="Compact"/>
            </w:pPr>
            <w:r>
              <w:t xml:space="preserve">Cite as close prior art; claim only the additional assembly.</w:t>
            </w:r>
          </w:p>
        </w:tc>
      </w:tr>
      <w:tr>
        <w:tc>
          <w:tcPr/>
          <w:p>
            <w:pPr>
              <w:pStyle w:val="Compact"/>
            </w:pPr>
            <w:r>
              <w:t xml:space="preserve">Is partial/non-exact unbinding compatible with VSA/HDC practice?</w:t>
            </w:r>
          </w:p>
        </w:tc>
        <w:tc>
          <w:tcPr/>
          <w:p>
            <w:pPr>
              <w:pStyle w:val="Compact"/>
            </w:pPr>
            <w:r>
              <w:t xml:space="preserve">Yes. Comparative VSA work explicitly studies approximation quality of non-exact unbinding and consequences of non-self-inverse binding. Plate’s HRR work is explicitly convolution-based, while broader HDC literature treats several binding families.</w:t>
            </w:r>
            <w:r>
              <w:t xml:space="preserve"> </w:t>
            </w:r>
            <w:hyperlink r:id="rId20">
              <w:r>
                <w:rPr>
                  <w:rStyle w:val="Hyperlink"/>
                </w:rPr>
                <w:t xml:space="preserve">[10]</w:t>
              </w:r>
            </w:hyperlink>
          </w:p>
        </w:tc>
        <w:tc>
          <w:tcPr/>
          <w:p>
            <w:pPr>
              <w:pStyle w:val="Compact"/>
            </w:pPr>
            <w:r>
              <w:t xml:space="preserve">Treat explicit Nexus recoverability states as an engineering/epistemic layer, not a claim that approximate unbinding is new to HDC.</w:t>
            </w:r>
          </w:p>
        </w:tc>
      </w:tr>
      <w:tr>
        <w:tc>
          <w:tcPr/>
          <w:p>
            <w:pPr>
              <w:pStyle w:val="Compact"/>
            </w:pPr>
            <w:r>
              <w:t xml:space="preserve">Can</w:t>
            </w:r>
            <w:r>
              <w:t xml:space="preserve"> </w:t>
            </w:r>
            <m:oMath>
              <m:r>
                <m:t>O</m:t>
              </m:r>
              <m:r>
                <m:rPr>
                  <m:sty m:val="p"/>
                </m:rPr>
                <m:t>(</m:t>
              </m:r>
              <m:r>
                <m:rPr>
                  <m:sty m:val="p"/>
                </m:rPr>
                <m:t>log</m:t>
              </m:r>
              <m:r>
                <m:rPr>
                  <m:sty m:val="p"/>
                </m:rPr>
                <m:t>|</m:t>
              </m:r>
              <m:r>
                <m:t>L</m:t>
              </m:r>
              <m:r>
                <m:rPr>
                  <m:sty m:val="p"/>
                </m:rPr>
                <m:t>|</m:t>
              </m:r>
              <m:r>
                <m:rPr>
                  <m:sty m:val="p"/>
                </m:rPr>
                <m:t>)</m:t>
              </m:r>
            </m:oMath>
            <w:r>
              <w:t xml:space="preserve"> </w:t>
            </w:r>
            <w:r>
              <w:t xml:space="preserve">generic gradient complexity be defended?</w:t>
            </w:r>
          </w:p>
        </w:tc>
        <w:tc>
          <w:tcPr/>
          <w:p>
            <w:pPr>
              <w:pStyle w:val="Compact"/>
            </w:pPr>
            <w:r>
              <w:t xml:space="preserve">The reviewed MoE literature supports sparse conditional activation without proportional growth in compute, but not a generic logarithmic theorem in label count.</w:t>
            </w:r>
            <w:r>
              <w:t xml:space="preserve"> </w:t>
            </w:r>
            <w:hyperlink r:id="rId14">
              <w:r>
                <w:rPr>
                  <w:rStyle w:val="Hyperlink"/>
                </w:rPr>
                <w:t xml:space="preserve">[3]</w:t>
              </w:r>
            </w:hyperlink>
          </w:p>
        </w:tc>
        <w:tc>
          <w:tcPr/>
          <w:p>
            <w:pPr>
              <w:pStyle w:val="Compact"/>
            </w:pPr>
            <w:r>
              <w:t xml:space="preserve">Remove from theorem/conclusion text; optional</w:t>
            </w:r>
            <w:r>
              <w:t xml:space="preserve"> </w:t>
            </w:r>
            <w:r>
              <w:rPr>
                <w:rStyle w:val="VerbatimChar"/>
              </w:rPr>
              <w:t xml:space="preserve">RESEARCH HYPOTHESIS</w:t>
            </w:r>
            <w:r>
              <w:t xml:space="preserve"> </w:t>
            </w:r>
            <w:r>
              <w:t xml:space="preserve">only.</w:t>
            </w:r>
          </w:p>
        </w:tc>
      </w:tr>
      <w:tr>
        <w:tc>
          <w:tcPr/>
          <w:p>
            <w:pPr>
              <w:pStyle w:val="Compact"/>
            </w:pPr>
            <w:r>
              <w:t xml:space="preserve">Is the heavy-tail Hanson–Wright formula salvageable as written?</w:t>
            </w:r>
          </w:p>
        </w:tc>
        <w:tc>
          <w:tcPr/>
          <w:p>
            <w:pPr>
              <w:pStyle w:val="Compact"/>
            </w:pPr>
            <w:r>
              <w:t xml:space="preserve">No. Standard Hanson–Wright has a linear operator-norm tail branch; real</w:t>
            </w:r>
            <w:r>
              <w:t xml:space="preserve"> </w:t>
            </w:r>
            <m:oMath>
              <m:r>
                <m:t>α</m:t>
              </m:r>
            </m:oMath>
            <w:r>
              <w:t xml:space="preserve">-sub-exponential extensions are more structured and depend on multiple norms.</w:t>
            </w:r>
            <w:r>
              <w:t xml:space="preserve"> </w:t>
            </w:r>
            <w:hyperlink r:id="rId15">
              <w:r>
                <w:rPr>
                  <w:rStyle w:val="Hyperlink"/>
                </w:rPr>
                <w:t xml:space="preserve">[11]</w:t>
              </w:r>
            </w:hyperlink>
          </w:p>
        </w:tc>
        <w:tc>
          <w:tcPr/>
          <w:p>
            <w:pPr>
              <w:pStyle w:val="Compact"/>
            </w:pPr>
            <w:r>
              <w:t xml:space="preserve">Replace core result with standard theorem; cite an exact heavy-tail theorem only if needed.</w:t>
            </w:r>
          </w:p>
        </w:tc>
      </w:tr>
      <w:tr>
        <w:tc>
          <w:tcPr/>
          <w:p>
            <w:pPr>
              <w:pStyle w:val="Compact"/>
            </w:pPr>
            <w:r>
              <w:t xml:space="preserve">Does quantum block encoding yield a specific HTLA advantage?</w:t>
            </w:r>
          </w:p>
        </w:tc>
        <w:tc>
          <w:tcPr/>
          <w:p>
            <w:pPr>
              <w:pStyle w:val="Compact"/>
            </w:pPr>
            <w:r>
              <w:t xml:space="preserve">Generic quantum signal-processing machinery exists, but the reviewed sources do not establish a benefit caused by HTLA labels or its Peirce decomposition.</w:t>
            </w:r>
            <w:r>
              <w:t xml:space="preserve"> </w:t>
            </w:r>
            <w:hyperlink r:id="rId17">
              <w:r>
                <w:rPr>
                  <w:rStyle w:val="Hyperlink"/>
                </w:rPr>
                <w:t xml:space="preserve">[6]</w:t>
              </w:r>
            </w:hyperlink>
          </w:p>
        </w:tc>
        <w:tc>
          <w:tcPr/>
          <w:p>
            <w:pPr>
              <w:pStyle w:val="Compact"/>
            </w:pPr>
            <w:r>
              <w:t xml:space="preserve">One</w:t>
            </w:r>
            <w:r>
              <w:t xml:space="preserve"> </w:t>
            </w:r>
            <w:r>
              <w:rPr>
                <w:rStyle w:val="VerbatimChar"/>
              </w:rPr>
              <w:t xml:space="preserve">RESEARCH HYPOTHESIS</w:t>
            </w:r>
            <w:r>
              <w:t xml:space="preserve"> </w:t>
            </w:r>
            <w:r>
              <w:t xml:space="preserve">paragraph at most.</w:t>
            </w:r>
          </w:p>
        </w:tc>
      </w:tr>
      <w:tr>
        <w:tc>
          <w:tcPr/>
          <w:p>
            <w:pPr>
              <w:pStyle w:val="Compact"/>
            </w:pPr>
            <w:r>
              <w:t xml:space="preserve">Does persistent homology belong in core HTLA?</w:t>
            </w:r>
          </w:p>
        </w:tc>
        <w:tc>
          <w:tcPr/>
          <w:p>
            <w:pPr>
              <w:pStyle w:val="Compact"/>
            </w:pPr>
            <w:r>
              <w:t xml:space="preserve">Zigzag persistence applies naturally to changing complexes/spaces and has possible relevance to a time-dependent coupling graph, but no such construction is established by the supplied Nexus material.</w:t>
            </w:r>
            <w:r>
              <w:t xml:space="preserve"> </w:t>
            </w:r>
            <w:hyperlink r:id="rId18">
              <w:r>
                <w:rPr>
                  <w:rStyle w:val="Hyperlink"/>
                </w:rPr>
                <w:t xml:space="preserve">[7]</w:t>
              </w:r>
            </w:hyperlink>
          </w:p>
        </w:tc>
        <w:tc>
          <w:tcPr/>
          <w:p>
            <w:pPr>
              <w:pStyle w:val="Compact"/>
            </w:pPr>
            <w:r>
              <w:t xml:space="preserve">Speculative note unless an explicit filtration and operational question are supplied.</w:t>
            </w:r>
          </w:p>
        </w:tc>
      </w:tr>
    </w:tbl>
    <w:p>
      <w:pPr>
        <w:pStyle w:val="BodyText"/>
      </w:pPr>
      <w:r>
        <w:t xml:space="preserve">The rewrite should also preserve the distinction between</w:t>
      </w:r>
      <w:r>
        <w:t xml:space="preserve"> </w:t>
      </w:r>
      <w:r>
        <w:rPr>
          <w:b/>
          <w:bCs/>
        </w:rPr>
        <w:t xml:space="preserve">mathematical equivalence after flattening</w:t>
      </w:r>
      <w:r>
        <w:t xml:space="preserve"> </w:t>
      </w:r>
      <w:r>
        <w:t xml:space="preserve">and</w:t>
      </w:r>
      <w:r>
        <w:t xml:space="preserve"> </w:t>
      </w:r>
      <w:r>
        <w:rPr>
          <w:b/>
          <w:bCs/>
        </w:rPr>
        <w:t xml:space="preserve">software-semantic equivalence</w:t>
      </w:r>
      <w:r>
        <w:t xml:space="preserve">. For finite</w:t>
      </w:r>
      <w:r>
        <w:t xml:space="preserve"> </w:t>
      </w:r>
      <m:oMath>
        <m:r>
          <m:t>L</m:t>
        </m:r>
      </m:oMath>
      <w:r>
        <w:t xml:space="preserve">, once an ordering of labels is chosen,</w:t>
      </w:r>
    </w:p>
    <w:p>
      <w:pPr>
        <w:pStyle w:val="BodyText"/>
      </w:pPr>
      <m:oMathPara>
        <m:oMathParaPr>
          <m:jc m:val="center"/>
        </m:oMathParaPr>
        <m:oMath>
          <m:sSub>
            <m:e>
              <m:r>
                <m:rPr>
                  <m:sty m:val="p"/>
                </m:rPr>
                <m:t>⨁</m:t>
              </m:r>
            </m:e>
            <m:sub>
              <m:r>
                <m:t>ℓ</m:t>
              </m:r>
              <m:r>
                <m:rPr>
                  <m:sty m:val="p"/>
                </m:rPr>
                <m:t>∈</m:t>
              </m:r>
              <m:r>
                <m:t>L</m:t>
              </m:r>
            </m:sub>
          </m:sSub>
          <m:sSup>
            <m:e>
              <m:r>
                <m:rPr>
                  <m:scr m:val="double-struck"/>
                  <m:sty m:val="p"/>
                </m:rPr>
                <m:t>R</m:t>
              </m:r>
            </m:e>
            <m:sup>
              <m:sSub>
                <m:e>
                  <m:r>
                    <m:t>n</m:t>
                  </m:r>
                </m:e>
                <m:sub>
                  <m:r>
                    <m:t>ℓ</m:t>
                  </m:r>
                </m:sub>
              </m:sSub>
            </m:sup>
          </m:sSup>
        </m:oMath>
      </m:oMathPara>
    </w:p>
    <w:p>
      <w:pPr>
        <w:pStyle w:val="FirstParagraph"/>
      </w:pPr>
      <w:r>
        <w:t xml:space="preserve">is of course linearly isomorphic to a single Euclidean space whose dimension is the sum of the component dimensions. The point of HTLA is therefore not that flattening is mathematically impossible. Its utility is that the decomposition is retained as typed structure: source and target labels, block admissibility, missingness, and recoverability information survive instead of being erased into offsets. This is a design interpretation of elementary direct-sum algebra, not a claim about a previously unknown vector-space construction.</w:t>
      </w:r>
    </w:p>
    <w:p>
      <w:pPr>
        <w:pStyle w:val="BodyText"/>
      </w:pPr>
      <w:r>
        <w:t xml:space="preserve">The supplied claim-status vocabulary should be reused literally and without additions:</w:t>
      </w:r>
    </w:p>
    <w:p>
      <w:pPr>
        <w:pStyle w:val="BodyText"/>
      </w:pPr>
      <w:r>
        <w:rPr>
          <w:rStyle w:val="VerbatimChar"/>
        </w:rPr>
        <w:t xml:space="preserve">CANONICAL, IMPLEMENTED, VERIFIED, PARTIALLY IMPLEMENTED, ACTIVE DEVELOPMENT, PROPOSED, DESIGN TARGET, EXPERIMENTAL, RESEARCH HYPOTHESIS, APPLICATION-SPECIFIC, HISTORICAL/SUPERSEDED, INFERRED</w:t>
      </w:r>
      <w:r>
        <w:t xml:space="preserve">. fileciteturn0file0</w:t>
      </w:r>
    </w:p>
    <w:p>
      <w:pPr>
        <w:pStyle w:val="BodyText"/>
      </w:pPr>
      <w:r>
        <w:t xml:space="preserve">For this Tier 2 document,</w:t>
      </w:r>
      <w:r>
        <w:t xml:space="preserve"> </w:t>
      </w:r>
      <w:r>
        <w:rPr>
          <w:rStyle w:val="VerbatimChar"/>
        </w:rPr>
        <w:t xml:space="preserve">CANONICAL</w:t>
      </w:r>
      <w:r>
        <w:t xml:space="preserve"> </w:t>
      </w:r>
      <w:r>
        <w:t xml:space="preserve">should only be inherited where a higher-tier Nexus source has already assigned that status; HTLA should not promote its own subsystem choices into higher-tier architecture. fileciteturn0file0</w:t>
      </w:r>
    </w:p>
    <w:bookmarkEnd w:id="21"/>
    <w:bookmarkStart w:id="28" w:name="relationship-to-prior-art"/>
    <w:p>
      <w:pPr>
        <w:pStyle w:val="Heading2"/>
      </w:pPr>
      <w:r>
        <w:t xml:space="preserve">Relationship to prior art</w:t>
      </w:r>
    </w:p>
    <w:p>
      <w:pPr>
        <w:pStyle w:val="FirstParagraph"/>
      </w:pPr>
      <w:r>
        <w:t xml:space="preserve">The closest mathematical and engineering analogues are complementary rather than interchangeable.</w:t>
      </w:r>
    </w:p>
    <w:p>
      <w:pPr>
        <w:pStyle w:val="BodyText"/>
      </w:pPr>
      <w:r>
        <w:rPr>
          <w:b/>
          <w:bCs/>
        </w:rPr>
        <w:t xml:space="preserve">Named Tensor Notation.</w:t>
      </w:r>
      <w:r>
        <w:t xml:space="preserve"> </w:t>
      </w:r>
      <w:r>
        <w:t xml:space="preserve">Chiang, Rush, and Barak formalize a tensor as a mapping indexed by a</w:t>
      </w:r>
      <w:r>
        <w:t xml:space="preserve"> </w:t>
      </w:r>
      <w:r>
        <w:rPr>
          <w:i/>
          <w:iCs/>
        </w:rPr>
        <w:t xml:space="preserve">shape</w:t>
      </w:r>
      <w:r>
        <w:t xml:space="preserve"> </w:t>
      </w:r>
      <w:r>
        <w:t xml:space="preserve">made from named axes; their notation makes tensor contractions, broadcasting, reductions, indexing, and reshaping explicit by axis name and was designed precisely to eliminate ambiguity about which machine-learning axes an operation acts on.</w:t>
      </w:r>
      <w:r>
        <w:t xml:space="preserve"> </w:t>
      </w:r>
      <w:hyperlink r:id="rId10">
        <w:r>
          <w:rPr>
            <w:rStyle w:val="Hyperlink"/>
          </w:rPr>
          <w:t xml:space="preserve">[9]</w:t>
        </w:r>
      </w:hyperlink>
      <w:r>
        <w:t xml:space="preserve"> </w:t>
      </w:r>
      <w:r>
        <w:t xml:space="preserve">That is close to HTLA’s insistence that a label should carry semantic information. But the formal Named Tensor object remains a tensor whose indices range over a collection of axes composing a product-shaped record space.</w:t>
      </w:r>
      <w:r>
        <w:t xml:space="preserve"> </w:t>
      </w:r>
      <w:hyperlink r:id="rId10">
        <w:r>
          <w:rPr>
            <w:rStyle w:val="Hyperlink"/>
          </w:rPr>
          <w:t xml:space="preserve">[9]</w:t>
        </w:r>
      </w:hyperlink>
      <w:r>
        <w:t xml:space="preserve"> </w:t>
      </w:r>
      <w:r>
        <w:t xml:space="preserve">HTLA’s direct-sum construction instead takes independently dimensioned component vector spaces as the primary state object and treats an operator as a family of maps</w:t>
      </w:r>
      <w:r>
        <w:t xml:space="preserve"> </w:t>
      </w:r>
      <m:oMath>
        <m:sSub>
          <m:e>
            <m:r>
              <m:t>H</m:t>
            </m:r>
          </m:e>
          <m:sub>
            <m:r>
              <m:t>s</m:t>
            </m:r>
          </m:sub>
        </m:sSub>
        <m:r>
          <m:rPr>
            <m:sty m:val="p"/>
          </m:rPr>
          <m:t>→</m:t>
        </m:r>
        <m:sSub>
          <m:e>
            <m:r>
              <m:t>H</m:t>
            </m:r>
          </m:e>
          <m:sub>
            <m:r>
              <m:t>t</m:t>
            </m:r>
          </m:sub>
        </m:sSub>
      </m:oMath>
      <w:r>
        <w:t xml:space="preserve">. Named tensors can certainly</w:t>
      </w:r>
      <w:r>
        <w:t xml:space="preserve"> </w:t>
      </w:r>
      <w:r>
        <w:rPr>
          <w:i/>
          <w:iCs/>
        </w:rPr>
        <w:t xml:space="preserve">encode or simulate</w:t>
      </w:r>
      <w:r>
        <w:t xml:space="preserve"> </w:t>
      </w:r>
      <w:r>
        <w:t xml:space="preserve">such data with additional conventions; the defensible distinction is that direct-sum component semantics, Peirce blocks, typed absent components, and partial-unbind status are not intrinsic constructs of the Named Tensor formalism itself.</w:t>
      </w:r>
      <w:r>
        <w:t xml:space="preserve"> </w:t>
      </w:r>
      <w:hyperlink r:id="rId10">
        <w:r>
          <w:rPr>
            <w:rStyle w:val="Hyperlink"/>
          </w:rPr>
          <w:t xml:space="preserve">[9]</w:t>
        </w:r>
      </w:hyperlink>
    </w:p>
    <w:p>
      <w:pPr>
        <w:pStyle w:val="BodyText"/>
      </w:pPr>
      <w:r>
        <w:rPr>
          <w:b/>
          <w:bCs/>
        </w:rPr>
        <w:t xml:space="preserve">Peirce decomposition and rings with several objects.</w:t>
      </w:r>
      <w:r>
        <w:t xml:space="preserve"> </w:t>
      </w:r>
      <w:r>
        <w:t xml:space="preserve">Ring theory already supplies the exact structural vocabulary needed for the block calculus. A complete set of orthogonal idempotents decomposes a ring into generalized matrix corners</w:t>
      </w:r>
      <w:r>
        <w:t xml:space="preserve"> </w:t>
      </w:r>
      <m:oMath>
        <m:sSub>
          <m:e>
            <m:r>
              <m:t>e</m:t>
            </m:r>
          </m:e>
          <m:sub>
            <m:r>
              <m:t>t</m:t>
            </m:r>
          </m:sub>
        </m:sSub>
        <m:r>
          <m:t>R</m:t>
        </m:r>
        <m:sSub>
          <m:e>
            <m:r>
              <m:t>e</m:t>
            </m:r>
          </m:e>
          <m:sub>
            <m:r>
              <m:t>s</m:t>
            </m:r>
          </m:sub>
        </m:sSub>
      </m:oMath>
      <w:r>
        <w:t xml:space="preserve">, and modern treatments explicitly describe this as a Peirce decomposition.</w:t>
      </w:r>
      <w:r>
        <w:t xml:space="preserve"> </w:t>
      </w:r>
      <w:hyperlink r:id="rId11">
        <w:r>
          <w:rPr>
            <w:rStyle w:val="Hyperlink"/>
          </w:rPr>
          <w:t xml:space="preserve">[12]</w:t>
        </w:r>
      </w:hyperlink>
      <w:r>
        <w:t xml:space="preserve"> </w:t>
      </w:r>
      <w:r>
        <w:t xml:space="preserve">Mitchell’s “rings with several objects” framework is the classical categorical counterpart: a usual ring behaves like a single-object preadditive category, while multiple objects give hom-groups with additive structure and bilinear composition. The original Mitchell article is</w:t>
      </w:r>
      <w:r>
        <w:t xml:space="preserve"> </w:t>
      </w:r>
      <w:r>
        <w:rPr>
          <w:i/>
          <w:iCs/>
        </w:rPr>
        <w:t xml:space="preserve">Rings with Several Objects</w:t>
      </w:r>
      <w:r>
        <w:t xml:space="preserve">,</w:t>
      </w:r>
      <w:r>
        <w:t xml:space="preserve"> </w:t>
      </w:r>
      <w:r>
        <w:rPr>
          <w:i/>
          <w:iCs/>
        </w:rPr>
        <w:t xml:space="preserve">Advances in Mathematics</w:t>
      </w:r>
      <w:r>
        <w:t xml:space="preserve">, DOI</w:t>
      </w:r>
      <w:r>
        <w:t xml:space="preserve"> </w:t>
      </w:r>
      <w:r>
        <w:rPr>
          <w:rStyle w:val="VerbatimChar"/>
        </w:rPr>
        <w:t xml:space="preserve">10.1016/0001-8708(72)90002-3</w:t>
      </w:r>
      <w:r>
        <w:t xml:space="preserve">.</w:t>
      </w:r>
      <w:r>
        <w:t xml:space="preserve"> </w:t>
      </w:r>
      <w:hyperlink r:id="rId22">
        <w:r>
          <w:rPr>
            <w:rStyle w:val="Hyperlink"/>
          </w:rPr>
          <w:t xml:space="preserve">[13]</w:t>
        </w:r>
      </w:hyperlink>
      <w:r>
        <w:t xml:space="preserve"> </w:t>
      </w:r>
      <w:r>
        <w:t xml:space="preserve">HTLA should cite this lineage rather than inventing a label grading that lacks a degree-composition law.</w:t>
      </w:r>
    </w:p>
    <w:p>
      <w:pPr>
        <w:pStyle w:val="BodyText"/>
      </w:pPr>
      <w:r>
        <w:rPr>
          <w:b/>
          <w:bCs/>
        </w:rPr>
        <w:t xml:space="preserve">Categorical machine learning.</w:t>
      </w:r>
      <w:r>
        <w:t xml:space="preserve"> </w:t>
      </w:r>
      <w:r>
        <w:t xml:space="preserve">Category-theoretic treatments of gradient learning, compositional architecture, optics, functors, and string diagrams are an active research program; Crescenzi’s survey explicitly organizes several of these directions.</w:t>
      </w:r>
      <w:r>
        <w:t xml:space="preserve"> </w:t>
      </w:r>
      <w:hyperlink r:id="rId23">
        <w:r>
          <w:rPr>
            <w:rStyle w:val="Hyperlink"/>
          </w:rPr>
          <w:t xml:space="preserve">[14]</w:t>
        </w:r>
      </w:hyperlink>
      <w:r>
        <w:t xml:space="preserve"> </w:t>
      </w:r>
      <w:r>
        <w:t xml:space="preserve">That gives useful context but not a reason to inflate HTLA into a category-theoretic universality result. The ringoid/preadditive-category observation is enough: it accurately identifies the block-composition structure and avoids claims the label semantics do not earn.</w:t>
      </w:r>
    </w:p>
    <w:p>
      <w:pPr>
        <w:pStyle w:val="BodyText"/>
      </w:pPr>
      <w:r>
        <w:rPr>
          <w:b/>
          <w:bCs/>
        </w:rPr>
        <w:t xml:space="preserve">HDC and VSA.</w:t>
      </w:r>
      <w:r>
        <w:t xml:space="preserve"> </w:t>
      </w:r>
      <w:r>
        <w:t xml:space="preserve">Kanerva’s HDC program and the wider VSA family already treat symbolic computation as algebra over high-dimensional vectors.</w:t>
      </w:r>
      <w:r>
        <w:t xml:space="preserve"> </w:t>
      </w:r>
      <w:hyperlink r:id="rId24">
        <w:r>
          <w:rPr>
            <w:rStyle w:val="Hyperlink"/>
          </w:rPr>
          <w:t xml:space="preserve">[15]</w:t>
        </w:r>
      </w:hyperlink>
      <w:r>
        <w:t xml:space="preserve"> </w:t>
      </w:r>
      <w:r>
        <w:t xml:space="preserve">Plate’s HRR construction is a major convolution-based member of that family.</w:t>
      </w:r>
      <w:r>
        <w:t xml:space="preserve"> </w:t>
      </w:r>
      <w:hyperlink r:id="rId25">
        <w:r>
          <w:rPr>
            <w:rStyle w:val="Hyperlink"/>
          </w:rPr>
          <w:t xml:space="preserve">[16]</w:t>
        </w:r>
      </w:hyperlink>
      <w:r>
        <w:t xml:space="preserve"> </w:t>
      </w:r>
      <w:r>
        <w:t xml:space="preserve">More importantly for the Nexus correction, Schlegel, Neubert, and Protzel explicitly compare the</w:t>
      </w:r>
      <w:r>
        <w:t xml:space="preserve"> </w:t>
      </w:r>
      <w:r>
        <w:rPr>
          <w:i/>
          <w:iCs/>
        </w:rPr>
        <w:t xml:space="preserve">approximation quality of non-exact unbinding</w:t>
      </w:r>
      <w:r>
        <w:t xml:space="preserve"> </w:t>
      </w:r>
      <w:r>
        <w:t xml:space="preserve">and discuss ramifications of non-self-inverse binding operations.</w:t>
      </w:r>
      <w:r>
        <w:t xml:space="preserve"> </w:t>
      </w:r>
      <w:hyperlink r:id="rId20">
        <w:r>
          <w:rPr>
            <w:rStyle w:val="Hyperlink"/>
          </w:rPr>
          <w:t xml:space="preserve">[17]</w:t>
        </w:r>
      </w:hyperlink>
      <w:r>
        <w:t xml:space="preserve"> </w:t>
      </w:r>
      <w:r>
        <w:t xml:space="preserve">Thus Nexus’s decision to make recoverability explicit through typed states is compatible with the known limitations of VSA unbinding. The contribution to emphasize is not the discovery that binding can lose information; it is the decision to make that fact an explicit API-level epistemic result rather than silently returning a vector that looks authoritative.</w:t>
      </w:r>
    </w:p>
    <w:p>
      <w:pPr>
        <w:pStyle w:val="BodyText"/>
      </w:pPr>
      <w:r>
        <w:rPr>
          <w:b/>
          <w:bCs/>
        </w:rPr>
        <w:t xml:space="preserve">Labeled and unit-aware arrays.</w:t>
      </w:r>
      <w:r>
        <w:t xml:space="preserve"> </w:t>
      </w:r>
      <w:r>
        <w:t xml:space="preserve">xarray describes</w:t>
      </w:r>
      <w:r>
        <w:t xml:space="preserve"> </w:t>
      </w:r>
      <w:r>
        <w:rPr>
          <w:rStyle w:val="VerbatimChar"/>
        </w:rPr>
        <w:t xml:space="preserve">DataArray</w:t>
      </w:r>
      <w:r>
        <w:t xml:space="preserve"> </w:t>
      </w:r>
      <w:r>
        <w:t xml:space="preserve">as a labeled multidimensional array whose dimensions carry names and whose coordinates support label-aware alignment and indexing.</w:t>
      </w:r>
      <w:r>
        <w:t xml:space="preserve"> </w:t>
      </w:r>
      <w:hyperlink r:id="rId26">
        <w:r>
          <w:rPr>
            <w:rStyle w:val="Hyperlink"/>
          </w:rPr>
          <w:t xml:space="preserve">[18]</w:t>
        </w:r>
      </w:hyperlink>
      <w:r>
        <w:t xml:space="preserve"> </w:t>
      </w:r>
      <w:r>
        <w:t xml:space="preserve">Pint integrates dimensional/unit semantics with NumPy-like computations, rejecting incompatible dimensional operations rather than treating every array as untyped.</w:t>
      </w:r>
      <w:r>
        <w:t xml:space="preserve"> </w:t>
      </w:r>
      <w:hyperlink r:id="rId27">
        <w:r>
          <w:rPr>
            <w:rStyle w:val="Hyperlink"/>
          </w:rPr>
          <w:t xml:space="preserve">[19]</w:t>
        </w:r>
      </w:hyperlink>
      <w:r>
        <w:t xml:space="preserve"> </w:t>
      </w:r>
      <w:r>
        <w:t xml:space="preserve">These are useful engineering analogies for HTLA’s insistence that metadata change which operations are meaningful. They are not evidence for HTLA’s direct-sum operator algebra.</w:t>
      </w:r>
    </w:p>
    <w:p>
      <w:pPr>
        <w:pStyle w:val="BodyText"/>
      </w:pPr>
      <w:r>
        <w:t xml:space="preserve">A concise relationship-to-prior-art paragraph suitable for the replacement manuscript is therefore:</w:t>
      </w:r>
    </w:p>
    <w:p>
      <w:pPr>
        <w:pStyle w:val="BlockText"/>
      </w:pPr>
      <w:r>
        <w:t xml:space="preserve">HTLA combines established direct-sum linear algebra, Peirce block decomposition, dimension-changing linear maps, and labeled-state programming conventions with a Nexus-specific recoverability and missingness contract. Named Tensor Notation already formalizes semantically named tensor axes, while xarray and unit-aware numerical libraries demonstrate the engineering value of label- and type-sensitive array operations. Peirce decomposition and preadditive categories provide the established algebraic account of block maps, and HDC/VSA literature already recognizes that unbinding may be approximate or non-exact.</w:t>
      </w:r>
      <w:r>
        <w:t xml:space="preserve"> </w:t>
      </w:r>
      <w:hyperlink r:id="rId10">
        <w:r>
          <w:rPr>
            <w:rStyle w:val="Hyperlink"/>
          </w:rPr>
          <w:t xml:space="preserve">[20]</w:t>
        </w:r>
      </w:hyperlink>
      <w:r>
        <w:t xml:space="preserve"> </w:t>
      </w:r>
      <w:r>
        <w:t xml:space="preserve">The paper-specific contribution is the assembly of these ideas into Nexus’s direct-sum ABI together with its deterministic quinary representation contract, typed missingness, explicit recoverability states, and executable subsystem interface. The individual linear-algebraic ingredients are prior art; the claim is about the system-level composition and its falsifiable software semantics. fileciteturn0file0</w:t>
      </w:r>
    </w:p>
    <w:p>
      <w:pPr>
        <w:pStyle w:val="FirstParagraph"/>
      </w:pPr>
      <w:r>
        <w:t xml:space="preserve">That is a claim which can survive scrutiny without asking the mathematics to bear more weight than it actually does.</w:t>
      </w:r>
    </w:p>
    <w:bookmarkEnd w:id="28"/>
    <w:bookmarkStart w:id="35" w:name="core-mathematical-replacement"/>
    <w:p>
      <w:pPr>
        <w:pStyle w:val="Heading2"/>
      </w:pPr>
      <w:r>
        <w:t xml:space="preserve">Core mathematical replacement</w:t>
      </w:r>
    </w:p>
    <w:p>
      <w:pPr>
        <w:pStyle w:val="FirstParagraph"/>
      </w:pPr>
      <w:r>
        <w:t xml:space="preserve">Let</w:t>
      </w:r>
      <w:r>
        <w:t xml:space="preserve"> </w:t>
      </w:r>
      <m:oMath>
        <m:r>
          <m:t>L</m:t>
        </m:r>
      </m:oMath>
      <w:r>
        <w:t xml:space="preserve"> </w:t>
      </w:r>
      <w:r>
        <w:t xml:space="preserve">be a finite set of semantic labels. To every</w:t>
      </w:r>
      <w:r>
        <w:t xml:space="preserve"> </w:t>
      </w:r>
      <m:oMath>
        <m:r>
          <m:t>ℓ</m:t>
        </m:r>
        <m:r>
          <m:rPr>
            <m:sty m:val="p"/>
          </m:rPr>
          <m:t>∈</m:t>
        </m:r>
        <m:r>
          <m:t>L</m:t>
        </m:r>
      </m:oMath>
      <w:r>
        <w:t xml:space="preserve"> </w:t>
      </w:r>
      <w:r>
        <w:t xml:space="preserve">assign a finite-dimensional real vector space</w:t>
      </w:r>
    </w:p>
    <w:p>
      <w:pPr>
        <w:pStyle w:val="BodyText"/>
      </w:pPr>
      <m:oMathPara>
        <m:oMathParaPr>
          <m:jc m:val="center"/>
        </m:oMathParaPr>
        <m:oMath>
          <m:sSub>
            <m:e>
              <m:r>
                <m:t>H</m:t>
              </m:r>
            </m:e>
            <m:sub>
              <m:r>
                <m:t>ℓ</m:t>
              </m:r>
            </m:sub>
          </m:sSub>
          <m:r>
            <m:rPr>
              <m:sty m:val="p"/>
            </m:rPr>
            <m:t>=</m:t>
          </m:r>
          <m:sSup>
            <m:e>
              <m:r>
                <m:rPr>
                  <m:scr m:val="double-struck"/>
                  <m:sty m:val="p"/>
                </m:rPr>
                <m:t>R</m:t>
              </m:r>
            </m:e>
            <m:sup>
              <m:sSub>
                <m:e>
                  <m:r>
                    <m:t>n</m:t>
                  </m:r>
                </m:e>
                <m:sub>
                  <m:r>
                    <m:t>ℓ</m:t>
                  </m:r>
                </m:sub>
              </m:sSub>
            </m:sup>
          </m:sSup>
          <m:r>
            <m:rPr>
              <m:sty m:val="p"/>
            </m:rPr>
            <m:t>.</m:t>
          </m:r>
        </m:oMath>
      </m:oMathPara>
    </w:p>
    <w:p>
      <w:pPr>
        <w:pStyle w:val="FirstParagraph"/>
      </w:pPr>
      <w:r>
        <w:t xml:space="preserve">The heterogeneous labeled state space is</w:t>
      </w:r>
    </w:p>
    <w:p>
      <w:pPr>
        <w:pStyle w:val="BodyText"/>
      </w:pPr>
      <m:oMathPara>
        <m:oMathParaPr>
          <m:jc m:val="center"/>
        </m:oMathParaPr>
        <m:oMath>
          <m:r>
            <m:rPr>
              <m:scr m:val="script"/>
              <m:sty m:val="p"/>
            </m:rPr>
            <m:t>H</m:t>
          </m:r>
          <m:r>
            <m:rPr>
              <m:sty m:val="p"/>
            </m:rPr>
            <m:t>=</m:t>
          </m:r>
          <m:sSub>
            <m:e>
              <m:r>
                <m:rPr>
                  <m:sty m:val="p"/>
                </m:rPr>
                <m:t>⨁</m:t>
              </m:r>
            </m:e>
            <m:sub>
              <m:r>
                <m:t>ℓ</m:t>
              </m:r>
              <m:r>
                <m:rPr>
                  <m:sty m:val="p"/>
                </m:rPr>
                <m:t>∈</m:t>
              </m:r>
              <m:r>
                <m:t>L</m:t>
              </m:r>
            </m:sub>
          </m:sSub>
          <m:sSub>
            <m:e>
              <m:r>
                <m:t>H</m:t>
              </m:r>
            </m:e>
            <m:sub>
              <m:r>
                <m:t>ℓ</m:t>
              </m:r>
            </m:sub>
          </m:sSub>
          <m:r>
            <m:rPr>
              <m:sty m:val="p"/>
            </m:rPr>
            <m:t>.</m:t>
          </m:r>
        </m:oMath>
      </m:oMathPara>
    </w:p>
    <w:p>
      <w:pPr>
        <w:pStyle w:val="FirstParagraph"/>
      </w:pPr>
      <w:r>
        <w:t xml:space="preserve">An element</w:t>
      </w:r>
      <w:r>
        <w:t xml:space="preserve"> </w:t>
      </w:r>
      <m:oMath>
        <m:r>
          <m:t>H</m:t>
        </m:r>
        <m:r>
          <m:rPr>
            <m:sty m:val="p"/>
          </m:rPr>
          <m:t>∈</m:t>
        </m:r>
        <m:r>
          <m:rPr>
            <m:scr m:val="script"/>
            <m:sty m:val="p"/>
          </m:rPr>
          <m:t>H</m:t>
        </m:r>
      </m:oMath>
      <w:r>
        <w:t xml:space="preserve"> </w:t>
      </w:r>
      <w:r>
        <w:t xml:space="preserve">is a family</w:t>
      </w:r>
      <w:r>
        <w:t xml:space="preserve"> </w:t>
      </w:r>
      <m:oMath>
        <m:r>
          <m:t>H</m:t>
        </m:r>
        <m:r>
          <m:rPr>
            <m:sty m:val="p"/>
          </m:rPr>
          <m:t>=</m:t>
        </m:r>
        <m:r>
          <m:rPr>
            <m:sty m:val="p"/>
          </m:rPr>
          <m:t>(</m:t>
        </m:r>
        <m:sSub>
          <m:e>
            <m:r>
              <m:t>H</m:t>
            </m:r>
          </m:e>
          <m:sub>
            <m:r>
              <m:t>ℓ</m:t>
            </m:r>
          </m:sub>
        </m:sSub>
        <m:sSub>
          <m:e>
            <m:r>
              <m:rPr>
                <m:sty m:val="p"/>
              </m:rPr>
              <m:t>)</m:t>
            </m:r>
          </m:e>
          <m:sub>
            <m:r>
              <m:t>ℓ</m:t>
            </m:r>
            <m:r>
              <m:rPr>
                <m:sty m:val="p"/>
              </m:rPr>
              <m:t>∈</m:t>
            </m:r>
            <m:r>
              <m:t>L</m:t>
            </m:r>
          </m:sub>
        </m:sSub>
      </m:oMath>
      <w:r>
        <w:t xml:space="preserve"> </w:t>
      </w:r>
      <w:r>
        <w:t xml:space="preserve">with</w:t>
      </w:r>
      <w:r>
        <w:t xml:space="preserve"> </w:t>
      </w:r>
      <m:oMath>
        <m:sSub>
          <m:e>
            <m:r>
              <m:t>H</m:t>
            </m:r>
          </m:e>
          <m:sub>
            <m:r>
              <m:t>ℓ</m:t>
            </m:r>
          </m:sub>
        </m:sSub>
        <m:r>
          <m:rPr>
            <m:sty m:val="p"/>
          </m:rPr>
          <m:t>∈</m:t>
        </m:r>
        <m:sSub>
          <m:e>
            <m:r>
              <m:t>H</m:t>
            </m:r>
          </m:e>
          <m:sub>
            <m:r>
              <m:t>ℓ</m:t>
            </m:r>
          </m:sub>
        </m:sSub>
      </m:oMath>
      <w:r>
        <w:t xml:space="preserve">. Because the index set is finite, this direct sum is linearly isomorphic to an ordinary flattened Euclidean vector space after choosing an ordering. The retained decomposition is nevertheless mathematically meaningful because it supplies distinguished projections and inclusions.</w:t>
      </w:r>
    </w:p>
    <w:p>
      <w:pPr>
        <w:pStyle w:val="BodyText"/>
      </w:pPr>
      <w:r>
        <w:t xml:space="preserve">For each label, let</w:t>
      </w:r>
    </w:p>
    <w:p>
      <w:pPr>
        <w:pStyle w:val="BodyText"/>
      </w:pPr>
      <m:oMathPara>
        <m:oMathParaPr>
          <m:jc m:val="center"/>
        </m:oMathParaPr>
        <m:oMath>
          <m:sSub>
            <m:e>
              <m:r>
                <m:t>e</m:t>
              </m:r>
            </m:e>
            <m:sub>
              <m:r>
                <m:t>ℓ</m:t>
              </m:r>
            </m:sub>
          </m:sSub>
          <m:r>
            <m:rPr>
              <m:sty m:val="p"/>
            </m:rPr>
            <m:t>:</m:t>
          </m:r>
          <m:r>
            <m:rPr>
              <m:scr m:val="script"/>
              <m:sty m:val="p"/>
            </m:rPr>
            <m:t>H</m:t>
          </m:r>
          <m:r>
            <m:rPr>
              <m:sty m:val="p"/>
            </m:rPr>
            <m:t>→</m:t>
          </m:r>
          <m:r>
            <m:rPr>
              <m:scr m:val="script"/>
              <m:sty m:val="p"/>
            </m:rPr>
            <m:t>H</m:t>
          </m:r>
        </m:oMath>
      </m:oMathPara>
    </w:p>
    <w:p>
      <w:pPr>
        <w:pStyle w:val="FirstParagraph"/>
      </w:pPr>
      <w:r>
        <w:t xml:space="preserve">be the projection onto the</w:t>
      </w:r>
      <w:r>
        <w:t xml:space="preserve"> </w:t>
      </w:r>
      <m:oMath>
        <m:r>
          <m:t>ℓ</m:t>
        </m:r>
      </m:oMath>
      <w:r>
        <w:t xml:space="preserve">-component followed by its inclusion back into</w:t>
      </w:r>
      <w:r>
        <w:t xml:space="preserve"> </w:t>
      </w:r>
      <m:oMath>
        <m:r>
          <m:rPr>
            <m:scr m:val="script"/>
            <m:sty m:val="p"/>
          </m:rPr>
          <m:t>H</m:t>
        </m:r>
      </m:oMath>
      <w:r>
        <w:t xml:space="preserve">. Then</w:t>
      </w:r>
    </w:p>
    <w:p>
      <w:pPr>
        <w:pStyle w:val="BodyText"/>
      </w:pPr>
      <m:oMathPara>
        <m:oMathParaPr>
          <m:jc m:val="center"/>
        </m:oMathParaPr>
        <m:oMath>
          <m:sSubSup>
            <m:e>
              <m:r>
                <m:t>e</m:t>
              </m:r>
            </m:e>
            <m:sub>
              <m:r>
                <m:t>ℓ</m:t>
              </m:r>
            </m:sub>
            <m:sup>
              <m:r>
                <m:t>2</m:t>
              </m:r>
            </m:sup>
          </m:sSubSup>
          <m:r>
            <m:rPr>
              <m:sty m:val="p"/>
            </m:rPr>
            <m:t>=</m:t>
          </m:r>
          <m:sSub>
            <m:e>
              <m:r>
                <m:t>e</m:t>
              </m:r>
            </m:e>
            <m:sub>
              <m:r>
                <m:t>ℓ</m:t>
              </m:r>
            </m:sub>
          </m:sSub>
          <m:r>
            <m:rPr>
              <m:sty m:val="p"/>
            </m:rPr>
            <m:t>,</m:t>
          </m:r>
          <m:r>
            <m:t>  </m:t>
          </m:r>
          <m:sSub>
            <m:e>
              <m:r>
                <m:t>e</m:t>
              </m:r>
            </m:e>
            <m:sub>
              <m:r>
                <m:t>ℓ</m:t>
              </m:r>
            </m:sub>
          </m:sSub>
          <m:sSub>
            <m:e>
              <m:r>
                <m:t>e</m:t>
              </m:r>
            </m:e>
            <m:sub>
              <m:r>
                <m:t>m</m:t>
              </m:r>
            </m:sub>
          </m:sSub>
          <m:r>
            <m:rPr>
              <m:sty m:val="p"/>
            </m:rPr>
            <m:t>=</m:t>
          </m:r>
          <m:r>
            <m:t>0</m:t>
          </m:r>
          <m:r>
            <m:t> </m:t>
          </m:r>
          <m:r>
            <m:rPr>
              <m:sty m:val="p"/>
            </m:rPr>
            <m:t>(</m:t>
          </m:r>
          <m:r>
            <m:t>ℓ</m:t>
          </m:r>
          <m:r>
            <m:rPr>
              <m:sty m:val="p"/>
            </m:rPr>
            <m:t>≠</m:t>
          </m:r>
          <m:r>
            <m:t>m</m:t>
          </m:r>
          <m:r>
            <m:rPr>
              <m:sty m:val="p"/>
            </m:rPr>
            <m:t>)</m:t>
          </m:r>
          <m:r>
            <m:rPr>
              <m:sty m:val="p"/>
            </m:rPr>
            <m:t>,</m:t>
          </m:r>
          <m:r>
            <m:t>  </m:t>
          </m:r>
          <m:nary>
            <m:naryPr>
              <m:chr m:val="∑"/>
              <m:limLoc m:val="undOvr"/>
              <m:subHide m:val="off"/>
              <m:supHide m:val="on"/>
            </m:naryPr>
            <m:sub>
              <m:r>
                <m:t>ℓ</m:t>
              </m:r>
              <m:r>
                <m:rPr>
                  <m:sty m:val="p"/>
                </m:rPr>
                <m:t>∈</m:t>
              </m:r>
              <m:r>
                <m:t>L</m:t>
              </m:r>
            </m:sub>
            <m:sup>
              <m:r>
                <m:t>​</m:t>
              </m:r>
            </m:sup>
            <m:e>
              <m:sSub>
                <m:e>
                  <m:r>
                    <m:t>e</m:t>
                  </m:r>
                </m:e>
                <m:sub>
                  <m:r>
                    <m:t>ℓ</m:t>
                  </m:r>
                </m:sub>
              </m:sSub>
            </m:e>
          </m:nary>
          <m:r>
            <m:rPr>
              <m:sty m:val="p"/>
            </m:rPr>
            <m:t>=</m:t>
          </m:r>
          <m:sSub>
            <m:e>
              <m:r>
                <m:t>I</m:t>
              </m:r>
            </m:e>
            <m:sub>
              <m:r>
                <m:rPr>
                  <m:scr m:val="script"/>
                  <m:sty m:val="p"/>
                </m:rPr>
                <m:t>H</m:t>
              </m:r>
            </m:sub>
          </m:sSub>
          <m:r>
            <m:rPr>
              <m:sty m:val="p"/>
            </m:rPr>
            <m:t>.</m:t>
          </m:r>
        </m:oMath>
      </m:oMathPara>
    </w:p>
    <w:p>
      <w:pPr>
        <w:pStyle w:val="FirstParagraph"/>
      </w:pPr>
      <w:r>
        <w:t xml:space="preserve">These identities are immediate from componentwise projection and constitute a complete orthogonal idempotent system. For any</w:t>
      </w:r>
    </w:p>
    <w:p>
      <w:pPr>
        <w:pStyle w:val="BodyText"/>
      </w:pPr>
      <m:oMathPara>
        <m:oMathParaPr>
          <m:jc m:val="center"/>
        </m:oMathParaPr>
        <m:oMath>
          <m:r>
            <m:t>T</m:t>
          </m:r>
          <m:r>
            <m:rPr>
              <m:sty m:val="p"/>
            </m:rPr>
            <m:t>∈</m:t>
          </m:r>
          <m:r>
            <m:rPr>
              <m:sty m:val="p"/>
            </m:rPr>
            <m:t>End</m:t>
          </m:r>
          <m:r>
            <m:rPr>
              <m:sty m:val="p"/>
            </m:rPr>
            <m:t>(</m:t>
          </m:r>
          <m:r>
            <m:rPr>
              <m:scr m:val="script"/>
              <m:sty m:val="p"/>
            </m:rPr>
            <m:t>H</m:t>
          </m:r>
          <m:r>
            <m:rPr>
              <m:sty m:val="p"/>
            </m:rPr>
            <m:t>)</m:t>
          </m:r>
          <m:r>
            <m:rPr>
              <m:sty m:val="p"/>
            </m:rPr>
            <m:t>,</m:t>
          </m:r>
        </m:oMath>
      </m:oMathPara>
    </w:p>
    <w:p>
      <w:pPr>
        <w:pStyle w:val="FirstParagraph"/>
      </w:pPr>
      <w:r>
        <w:t xml:space="preserve">insert the identity on both sides:</w:t>
      </w:r>
    </w:p>
    <w:p>
      <w:pPr>
        <w:pStyle w:val="BodyText"/>
      </w:pPr>
      <m:oMathPara>
        <m:oMathParaPr>
          <m:jc m:val="center"/>
        </m:oMathParaPr>
        <m:oMath>
          <m:r>
            <m:t>T</m:t>
          </m:r>
          <m:r>
            <m:rPr>
              <m:sty m:val="p"/>
            </m:rPr>
            <m:t>=</m:t>
          </m:r>
          <m:d>
            <m:dPr>
              <m:begChr m:val="("/>
              <m:sepChr m:val=""/>
              <m:endChr m:val=")"/>
              <m:grow/>
            </m:dPr>
            <m:e>
              <m:nary>
                <m:naryPr>
                  <m:chr m:val="∑"/>
                  <m:limLoc m:val="undOvr"/>
                  <m:subHide m:val="off"/>
                  <m:supHide m:val="on"/>
                </m:naryPr>
                <m:sub>
                  <m:r>
                    <m:t>t</m:t>
                  </m:r>
                </m:sub>
                <m:sup>
                  <m:r>
                    <m:t>​</m:t>
                  </m:r>
                </m:sup>
                <m:e>
                  <m:sSub>
                    <m:e>
                      <m:r>
                        <m:t>e</m:t>
                      </m:r>
                    </m:e>
                    <m:sub>
                      <m:r>
                        <m:t>t</m:t>
                      </m:r>
                    </m:sub>
                  </m:sSub>
                </m:e>
              </m:nary>
            </m:e>
          </m:d>
          <m:r>
            <m:t>T</m:t>
          </m:r>
          <m:d>
            <m:dPr>
              <m:begChr m:val="("/>
              <m:sepChr m:val=""/>
              <m:endChr m:val=")"/>
              <m:grow/>
            </m:dPr>
            <m:e>
              <m:nary>
                <m:naryPr>
                  <m:chr m:val="∑"/>
                  <m:limLoc m:val="undOvr"/>
                  <m:subHide m:val="off"/>
                  <m:supHide m:val="on"/>
                </m:naryPr>
                <m:sub>
                  <m:r>
                    <m:t>s</m:t>
                  </m:r>
                </m:sub>
                <m:sup>
                  <m:r>
                    <m:t>​</m:t>
                  </m:r>
                </m:sup>
                <m:e>
                  <m:sSub>
                    <m:e>
                      <m:r>
                        <m:t>e</m:t>
                      </m:r>
                    </m:e>
                    <m:sub>
                      <m:r>
                        <m:t>s</m:t>
                      </m:r>
                    </m:sub>
                  </m:sSub>
                </m:e>
              </m:nary>
            </m:e>
          </m:d>
          <m:r>
            <m:rPr>
              <m:sty m:val="p"/>
            </m:rPr>
            <m:t>=</m:t>
          </m:r>
          <m:nary>
            <m:naryPr>
              <m:chr m:val="∑"/>
              <m:limLoc m:val="undOvr"/>
              <m:subHide m:val="off"/>
              <m:supHide m:val="on"/>
            </m:naryPr>
            <m:sub>
              <m:r>
                <m:t>t</m:t>
              </m:r>
              <m:r>
                <m:rPr>
                  <m:sty m:val="p"/>
                </m:rPr>
                <m:t>,</m:t>
              </m:r>
              <m:r>
                <m:t>s</m:t>
              </m:r>
            </m:sub>
            <m:sup>
              <m:r>
                <m:t>​</m:t>
              </m:r>
            </m:sup>
            <m:e>
              <m:sSub>
                <m:e>
                  <m:r>
                    <m:t>e</m:t>
                  </m:r>
                </m:e>
                <m:sub>
                  <m:r>
                    <m:t>t</m:t>
                  </m:r>
                </m:sub>
              </m:sSub>
            </m:e>
          </m:nary>
          <m:r>
            <m:t>T</m:t>
          </m:r>
          <m:sSub>
            <m:e>
              <m:r>
                <m:t>e</m:t>
              </m:r>
            </m:e>
            <m:sub>
              <m:r>
                <m:t>s</m:t>
              </m:r>
            </m:sub>
          </m:sSub>
          <m:r>
            <m:rPr>
              <m:sty m:val="p"/>
            </m:rPr>
            <m:t>.</m:t>
          </m:r>
        </m:oMath>
      </m:oMathPara>
    </w:p>
    <w:p>
      <w:pPr>
        <w:pStyle w:val="FirstParagraph"/>
      </w:pPr>
      <w:r>
        <w:t xml:space="preserve">Consequently,</w:t>
      </w:r>
    </w:p>
    <w:p>
      <w:pPr>
        <w:pStyle w:val="BodyText"/>
      </w:pPr>
      <m:oMathPara>
        <m:oMathParaPr>
          <m:jc m:val="center"/>
        </m:oMathParaPr>
        <m:oMath>
          <m:r>
            <m:rPr>
              <m:sty m:val="p"/>
            </m:rPr>
            <m:t>End</m:t>
          </m:r>
          <m:r>
            <m:rPr>
              <m:sty m:val="p"/>
            </m:rPr>
            <m:t>(</m:t>
          </m:r>
          <m:r>
            <m:rPr>
              <m:scr m:val="script"/>
              <m:sty m:val="p"/>
            </m:rPr>
            <m:t>H</m:t>
          </m:r>
          <m:r>
            <m:rPr>
              <m:sty m:val="p"/>
            </m:rPr>
            <m:t>)</m:t>
          </m:r>
          <m:r>
            <m:rPr>
              <m:sty m:val="p"/>
            </m:rPr>
            <m:t>=</m:t>
          </m:r>
          <m:sSub>
            <m:e>
              <m:r>
                <m:rPr>
                  <m:sty m:val="p"/>
                </m:rPr>
                <m:t>⨁</m:t>
              </m:r>
            </m:e>
            <m:sub>
              <m:r>
                <m:t>t</m:t>
              </m:r>
              <m:r>
                <m:rPr>
                  <m:sty m:val="p"/>
                </m:rPr>
                <m:t>,</m:t>
              </m:r>
              <m:r>
                <m:t>s</m:t>
              </m:r>
              <m:r>
                <m:rPr>
                  <m:sty m:val="p"/>
                </m:rPr>
                <m:t>∈</m:t>
              </m:r>
              <m:r>
                <m:t>L</m:t>
              </m:r>
            </m:sub>
          </m:sSub>
          <m:sSub>
            <m:e>
              <m:r>
                <m:t>e</m:t>
              </m:r>
            </m:e>
            <m:sub>
              <m:r>
                <m:t>t</m:t>
              </m:r>
            </m:sub>
          </m:sSub>
          <m:r>
            <m:rPr>
              <m:sty m:val="p"/>
            </m:rPr>
            <m:t>End</m:t>
          </m:r>
          <m:r>
            <m:rPr>
              <m:sty m:val="p"/>
            </m:rPr>
            <m:t>(</m:t>
          </m:r>
          <m:r>
            <m:rPr>
              <m:scr m:val="script"/>
              <m:sty m:val="p"/>
            </m:rPr>
            <m:t>H</m:t>
          </m:r>
          <m:r>
            <m:rPr>
              <m:sty m:val="p"/>
            </m:rPr>
            <m:t>)</m:t>
          </m:r>
          <m:sSub>
            <m:e>
              <m:r>
                <m:t>e</m:t>
              </m:r>
            </m:e>
            <m:sub>
              <m:r>
                <m:t>s</m:t>
              </m:r>
            </m:sub>
          </m:sSub>
          <m:r>
            <m:rPr>
              <m:sty m:val="p"/>
            </m:rPr>
            <m:t>.</m:t>
          </m:r>
        </m:oMath>
      </m:oMathPara>
    </w:p>
    <w:p>
      <w:pPr>
        <w:pStyle w:val="FirstParagraph"/>
      </w:pPr>
      <w:r>
        <w:t xml:space="preserve">This is exactly the Peirce/block decomposition associated with the idempotents, consistent with the standard generalized-matrix treatment of rings possessing complete orthogonal idempotents.</w:t>
      </w:r>
      <w:r>
        <w:t xml:space="preserve"> </w:t>
      </w:r>
      <w:hyperlink r:id="rId11">
        <w:r>
          <w:rPr>
            <w:rStyle w:val="Hyperlink"/>
          </w:rPr>
          <w:t xml:space="preserve">[12]</w:t>
        </w:r>
      </w:hyperlink>
      <w:r>
        <w:t xml:space="preserve"> </w:t>
      </w:r>
      <w:r>
        <w:t xml:space="preserve">Each corner</w:t>
      </w:r>
    </w:p>
    <w:p>
      <w:pPr>
        <w:pStyle w:val="BodyText"/>
      </w:pPr>
      <m:oMathPara>
        <m:oMathParaPr>
          <m:jc m:val="center"/>
        </m:oMathParaPr>
        <m:oMath>
          <m:sSub>
            <m:e>
              <m:r>
                <m:t>T</m:t>
              </m:r>
            </m:e>
            <m:sub>
              <m:r>
                <m:t>t</m:t>
              </m:r>
              <m:r>
                <m:rPr>
                  <m:sty m:val="p"/>
                </m:rPr>
                <m:t>,</m:t>
              </m:r>
              <m:r>
                <m:t>s</m:t>
              </m:r>
            </m:sub>
          </m:sSub>
          <m:r>
            <m:rPr>
              <m:sty m:val="p"/>
            </m:rPr>
            <m:t>=</m:t>
          </m:r>
          <m:sSub>
            <m:e>
              <m:r>
                <m:t>e</m:t>
              </m:r>
            </m:e>
            <m:sub>
              <m:r>
                <m:t>t</m:t>
              </m:r>
            </m:sub>
          </m:sSub>
          <m:r>
            <m:t>T</m:t>
          </m:r>
          <m:sSub>
            <m:e>
              <m:r>
                <m:t>e</m:t>
              </m:r>
            </m:e>
            <m:sub>
              <m:r>
                <m:t>s</m:t>
              </m:r>
            </m:sub>
          </m:sSub>
        </m:oMath>
      </m:oMathPara>
    </w:p>
    <w:p>
      <w:pPr>
        <w:pStyle w:val="FirstParagraph"/>
      </w:pPr>
      <w:r>
        <w:t xml:space="preserve">is equivalently a rectangular matrix</w:t>
      </w:r>
    </w:p>
    <w:p>
      <w:pPr>
        <w:pStyle w:val="BodyText"/>
      </w:pPr>
      <m:oMathPara>
        <m:oMathParaPr>
          <m:jc m:val="center"/>
        </m:oMathParaPr>
        <m:oMath>
          <m:sSub>
            <m:e>
              <m:r>
                <m:t>T</m:t>
              </m:r>
            </m:e>
            <m:sub>
              <m:r>
                <m:t>t</m:t>
              </m:r>
              <m:r>
                <m:rPr>
                  <m:sty m:val="p"/>
                </m:rPr>
                <m:t>,</m:t>
              </m:r>
              <m:r>
                <m:t>s</m:t>
              </m:r>
            </m:sub>
          </m:sSub>
          <m:r>
            <m:rPr>
              <m:sty m:val="p"/>
            </m:rPr>
            <m:t>∈</m:t>
          </m:r>
          <m:sSup>
            <m:e>
              <m:r>
                <m:rPr>
                  <m:scr m:val="double-struck"/>
                  <m:sty m:val="p"/>
                </m:rPr>
                <m:t>R</m:t>
              </m:r>
            </m:e>
            <m:sup>
              <m:sSub>
                <m:e>
                  <m:r>
                    <m:t>n</m:t>
                  </m:r>
                </m:e>
                <m:sub>
                  <m:r>
                    <m:t>t</m:t>
                  </m:r>
                </m:sub>
              </m:sSub>
              <m:r>
                <m:rPr>
                  <m:sty m:val="p"/>
                </m:rPr>
                <m:t>×</m:t>
              </m:r>
              <m:sSub>
                <m:e>
                  <m:r>
                    <m:t>n</m:t>
                  </m:r>
                </m:e>
                <m:sub>
                  <m:r>
                    <m:t>s</m:t>
                  </m:r>
                </m:sub>
              </m:sSub>
            </m:sup>
          </m:sSup>
          <m:r>
            <m:rPr>
              <m:sty m:val="p"/>
            </m:rPr>
            <m:t>,</m:t>
          </m:r>
        </m:oMath>
      </m:oMathPara>
    </w:p>
    <w:p>
      <w:pPr>
        <w:pStyle w:val="FirstParagraph"/>
      </w:pPr>
      <w:r>
        <w:t xml:space="preserve">mapping source component</w:t>
      </w:r>
      <w:r>
        <w:t xml:space="preserve"> </w:t>
      </w:r>
      <m:oMath>
        <m:sSub>
          <m:e>
            <m:r>
              <m:t>H</m:t>
            </m:r>
          </m:e>
          <m:sub>
            <m:r>
              <m:t>s</m:t>
            </m:r>
          </m:sub>
        </m:sSub>
      </m:oMath>
      <w:r>
        <w:t xml:space="preserve"> </w:t>
      </w:r>
      <w:r>
        <w:t xml:space="preserve">to target component</w:t>
      </w:r>
      <w:r>
        <w:t xml:space="preserve"> </w:t>
      </w:r>
      <m:oMath>
        <m:sSub>
          <m:e>
            <m:r>
              <m:t>H</m:t>
            </m:r>
          </m:e>
          <m:sub>
            <m:r>
              <m:t>t</m:t>
            </m:r>
          </m:sub>
        </m:sSub>
      </m:oMath>
      <w:r>
        <w:t xml:space="preserve">.</w:t>
      </w:r>
    </w:p>
    <w:p>
      <w:pPr>
        <w:pStyle w:val="BodyText"/>
      </w:pPr>
      <w:r>
        <w:t xml:space="preserve">Composition follows ordinary block multiplication. If</w:t>
      </w:r>
      <w:r>
        <w:t xml:space="preserve"> </w:t>
      </w:r>
      <m:oMath>
        <m:r>
          <m:t>T</m:t>
        </m:r>
        <m:r>
          <m:rPr>
            <m:sty m:val="p"/>
          </m:rPr>
          <m:t>:</m:t>
        </m:r>
        <m:r>
          <m:rPr>
            <m:scr m:val="script"/>
            <m:sty m:val="p"/>
          </m:rPr>
          <m:t>H</m:t>
        </m:r>
        <m:r>
          <m:rPr>
            <m:sty m:val="p"/>
          </m:rPr>
          <m:t>→</m:t>
        </m:r>
        <m:r>
          <m:rPr>
            <m:scr m:val="script"/>
            <m:sty m:val="p"/>
          </m:rPr>
          <m:t>K</m:t>
        </m:r>
      </m:oMath>
      <w:r>
        <w:t xml:space="preserve"> </w:t>
      </w:r>
      <w:r>
        <w:t xml:space="preserve">and</w:t>
      </w:r>
      <w:r>
        <w:t xml:space="preserve"> </w:t>
      </w:r>
      <m:oMath>
        <m:r>
          <m:t>S</m:t>
        </m:r>
        <m:r>
          <m:rPr>
            <m:sty m:val="p"/>
          </m:rPr>
          <m:t>:</m:t>
        </m:r>
        <m:r>
          <m:rPr>
            <m:scr m:val="script"/>
            <m:sty m:val="p"/>
          </m:rPr>
          <m:t>K</m:t>
        </m:r>
        <m:r>
          <m:rPr>
            <m:sty m:val="p"/>
          </m:rPr>
          <m:t>→</m:t>
        </m:r>
        <m:r>
          <m:rPr>
            <m:scr m:val="script"/>
            <m:sty m:val="p"/>
          </m:rPr>
          <m:t>G</m:t>
        </m:r>
      </m:oMath>
      <w:r>
        <w:t xml:space="preserve">, then</w:t>
      </w:r>
    </w:p>
    <w:p>
      <w:pPr>
        <w:pStyle w:val="BodyText"/>
      </w:pPr>
      <m:oMathPara>
        <m:oMathParaPr>
          <m:jc m:val="center"/>
        </m:oMathParaPr>
        <m:oMath>
          <m:r>
            <m:rPr>
              <m:sty m:val="p"/>
            </m:rPr>
            <m:t>(</m:t>
          </m:r>
          <m:r>
            <m:t>S</m:t>
          </m:r>
          <m:r>
            <m:t>T</m:t>
          </m:r>
          <m:sSub>
            <m:e>
              <m:r>
                <m:rPr>
                  <m:sty m:val="p"/>
                </m:rPr>
                <m:t>)</m:t>
              </m:r>
            </m:e>
            <m:sub>
              <m:r>
                <m:t>u</m:t>
              </m:r>
              <m:r>
                <m:rPr>
                  <m:sty m:val="p"/>
                </m:rPr>
                <m:t>,</m:t>
              </m:r>
              <m:r>
                <m:t>s</m:t>
              </m:r>
            </m:sub>
          </m:sSub>
          <m:r>
            <m:rPr>
              <m:sty m:val="p"/>
            </m:rPr>
            <m:t>=</m:t>
          </m:r>
          <m:nary>
            <m:naryPr>
              <m:chr m:val="∑"/>
              <m:limLoc m:val="undOvr"/>
              <m:subHide m:val="off"/>
              <m:supHide m:val="on"/>
            </m:naryPr>
            <m:sub>
              <m:r>
                <m:t>t</m:t>
              </m:r>
            </m:sub>
            <m:sup>
              <m:r>
                <m:t>​</m:t>
              </m:r>
            </m:sup>
            <m:e>
              <m:sSub>
                <m:e>
                  <m:r>
                    <m:t>S</m:t>
                  </m:r>
                </m:e>
                <m:sub>
                  <m:r>
                    <m:t>u</m:t>
                  </m:r>
                  <m:r>
                    <m:rPr>
                      <m:sty m:val="p"/>
                    </m:rPr>
                    <m:t>,</m:t>
                  </m:r>
                  <m:r>
                    <m:t>t</m:t>
                  </m:r>
                </m:sub>
              </m:sSub>
            </m:e>
          </m:nary>
          <m:sSub>
            <m:e>
              <m:r>
                <m:t>T</m:t>
              </m:r>
            </m:e>
            <m:sub>
              <m:r>
                <m:t>t</m:t>
              </m:r>
              <m:r>
                <m:rPr>
                  <m:sty m:val="p"/>
                </m:rPr>
                <m:t>,</m:t>
              </m:r>
              <m:r>
                <m:t>s</m:t>
              </m:r>
            </m:sub>
          </m:sSub>
          <m:r>
            <m:rPr>
              <m:sty m:val="p"/>
            </m:rPr>
            <m:t>.</m:t>
          </m:r>
        </m:oMath>
      </m:oMathPara>
    </w:p>
    <w:p>
      <w:pPr>
        <w:pStyle w:val="FirstParagraph"/>
      </w:pPr>
      <w:r>
        <w:t xml:space="preserve">No grading law on</w:t>
      </w:r>
      <w:r>
        <w:t xml:space="preserve"> </w:t>
      </w:r>
      <m:oMath>
        <m:r>
          <m:t>L</m:t>
        </m:r>
      </m:oMath>
      <w:r>
        <w:t xml:space="preserve"> </w:t>
      </w:r>
      <w:r>
        <w:t xml:space="preserve">is required. The alternate categorical description has labels as objects and</w:t>
      </w:r>
    </w:p>
    <w:p>
      <w:pPr>
        <w:pStyle w:val="BodyText"/>
      </w:pPr>
      <m:oMathPara>
        <m:oMathParaPr>
          <m:jc m:val="center"/>
        </m:oMathParaPr>
        <m:oMath>
          <m:r>
            <m:rPr>
              <m:sty m:val="p"/>
            </m:rPr>
            <m:t>Hom</m:t>
          </m:r>
          <m:r>
            <m:rPr>
              <m:sty m:val="p"/>
            </m:rPr>
            <m:t>(</m:t>
          </m:r>
          <m:r>
            <m:t>s</m:t>
          </m:r>
          <m:r>
            <m:rPr>
              <m:sty m:val="p"/>
            </m:rPr>
            <m:t>,</m:t>
          </m:r>
          <m:r>
            <m:t>t</m:t>
          </m:r>
          <m:r>
            <m:rPr>
              <m:sty m:val="p"/>
            </m:rPr>
            <m:t>)</m:t>
          </m:r>
          <m:r>
            <m:rPr>
              <m:sty m:val="p"/>
            </m:rPr>
            <m:t>=</m:t>
          </m:r>
          <m:r>
            <m:rPr>
              <m:sty m:val="p"/>
            </m:rPr>
            <m:t>Lin</m:t>
          </m:r>
          <m:r>
            <m:rPr>
              <m:sty m:val="p"/>
            </m:rPr>
            <m:t>(</m:t>
          </m:r>
          <m:sSub>
            <m:e>
              <m:r>
                <m:t>H</m:t>
              </m:r>
            </m:e>
            <m:sub>
              <m:r>
                <m:t>s</m:t>
              </m:r>
            </m:sub>
          </m:sSub>
          <m:r>
            <m:rPr>
              <m:sty m:val="p"/>
            </m:rPr>
            <m:t>,</m:t>
          </m:r>
          <m:sSub>
            <m:e>
              <m:r>
                <m:t>H</m:t>
              </m:r>
            </m:e>
            <m:sub>
              <m:r>
                <m:t>t</m:t>
              </m:r>
            </m:sub>
          </m:sSub>
          <m:r>
            <m:rPr>
              <m:sty m:val="p"/>
            </m:rPr>
            <m:t>)</m:t>
          </m:r>
          <m:r>
            <m:rPr>
              <m:sty m:val="p"/>
            </m:rPr>
            <m:t>,</m:t>
          </m:r>
        </m:oMath>
      </m:oMathPara>
    </w:p>
    <w:p>
      <w:pPr>
        <w:pStyle w:val="FirstParagraph"/>
      </w:pPr>
      <w:r>
        <w:t xml:space="preserve">with matrix addition and ordinary composition. This is a finite preadditive category in the “ring with several objects” sense.</w:t>
      </w:r>
      <w:r>
        <w:t xml:space="preserve"> </w:t>
      </w:r>
      <w:hyperlink r:id="rId29">
        <w:r>
          <w:rPr>
            <w:rStyle w:val="Hyperlink"/>
          </w:rPr>
          <w:t xml:space="preserve">[21]</w:t>
        </w:r>
      </w:hyperlink>
    </w:p>
    <w:p>
      <w:pPr>
        <w:pStyle w:val="BodyText"/>
      </w:pPr>
      <w:r>
        <w:t xml:space="preserve">This immediately resolves the legacy categorical error. Suppose a proposed category of labeled spaces defines</w:t>
      </w:r>
    </w:p>
    <w:p>
      <w:pPr>
        <w:pStyle w:val="BodyText"/>
      </w:pPr>
      <m:oMathPara>
        <m:oMathParaPr>
          <m:jc m:val="center"/>
        </m:oMathParaPr>
        <m:oMath>
          <m:sSub>
            <m:e>
              <m:r>
                <m:rPr>
                  <m:sty m:val="p"/>
                </m:rPr>
                <m:t>Hom</m:t>
              </m:r>
            </m:e>
            <m:sub>
              <m:r>
                <m:rPr>
                  <m:sty m:val="p"/>
                </m:rPr>
                <m:t>H</m:t>
              </m:r>
              <m:r>
                <m:rPr>
                  <m:sty m:val="p"/>
                </m:rPr>
                <m:t>T</m:t>
              </m:r>
              <m:r>
                <m:rPr>
                  <m:sty m:val="p"/>
                </m:rPr>
                <m:t>L</m:t>
              </m:r>
              <m:r>
                <m:rPr>
                  <m:sty m:val="p"/>
                </m:rPr>
                <m:t>A</m:t>
              </m:r>
            </m:sub>
          </m:sSub>
          <m:r>
            <m:rPr>
              <m:sty m:val="p"/>
            </m:rPr>
            <m:t>(</m:t>
          </m:r>
          <m:r>
            <m:t>X</m:t>
          </m:r>
          <m:r>
            <m:rPr>
              <m:sty m:val="p"/>
            </m:rPr>
            <m:t>,</m:t>
          </m:r>
          <m:r>
            <m:t>Y</m:t>
          </m:r>
          <m:r>
            <m:rPr>
              <m:sty m:val="p"/>
            </m:rPr>
            <m:t>)</m:t>
          </m:r>
          <m:r>
            <m:rPr>
              <m:sty m:val="p"/>
            </m:rPr>
            <m:t>=</m:t>
          </m:r>
          <m:r>
            <m:rPr>
              <m:sty m:val="p"/>
            </m:rPr>
            <m:t>Lin</m:t>
          </m:r>
          <m:r>
            <m:rPr>
              <m:sty m:val="p"/>
            </m:rPr>
            <m:t>(</m:t>
          </m:r>
          <m:r>
            <m:t>F</m:t>
          </m:r>
          <m:r>
            <m:rPr>
              <m:sty m:val="p"/>
            </m:rPr>
            <m:t>(</m:t>
          </m:r>
          <m:r>
            <m:t>X</m:t>
          </m:r>
          <m:r>
            <m:rPr>
              <m:sty m:val="p"/>
            </m:rPr>
            <m:t>)</m:t>
          </m:r>
          <m:r>
            <m:rPr>
              <m:sty m:val="p"/>
            </m:rPr>
            <m:t>,</m:t>
          </m:r>
          <m:r>
            <m:t>F</m:t>
          </m:r>
          <m:r>
            <m:rPr>
              <m:sty m:val="p"/>
            </m:rPr>
            <m:t>(</m:t>
          </m:r>
          <m:r>
            <m:t>Y</m:t>
          </m:r>
          <m:r>
            <m:rPr>
              <m:sty m:val="p"/>
            </m:rPr>
            <m:t>)</m:t>
          </m:r>
          <m:r>
            <m:rPr>
              <m:sty m:val="p"/>
            </m:rPr>
            <m:t>)</m:t>
          </m:r>
        </m:oMath>
      </m:oMathPara>
    </w:p>
    <w:p>
      <w:pPr>
        <w:pStyle w:val="FirstParagraph"/>
      </w:pPr>
      <w:r>
        <w:t xml:space="preserve">for the flattened spaces</w:t>
      </w:r>
      <w:r>
        <w:t xml:space="preserve"> </w:t>
      </w:r>
      <m:oMath>
        <m:r>
          <m:t>F</m:t>
        </m:r>
        <m:r>
          <m:rPr>
            <m:sty m:val="p"/>
          </m:rPr>
          <m:t>(</m:t>
        </m:r>
        <m:r>
          <m:t>X</m:t>
        </m:r>
        <m:r>
          <m:rPr>
            <m:sty m:val="p"/>
          </m:rPr>
          <m:t>)</m:t>
        </m:r>
        <m:r>
          <m:rPr>
            <m:sty m:val="p"/>
          </m:rPr>
          <m:t>,</m:t>
        </m:r>
        <m:r>
          <m:t>F</m:t>
        </m:r>
        <m:r>
          <m:rPr>
            <m:sty m:val="p"/>
          </m:rPr>
          <m:t>(</m:t>
        </m:r>
        <m:r>
          <m:t>Y</m:t>
        </m:r>
        <m:r>
          <m:rPr>
            <m:sty m:val="p"/>
          </m:rPr>
          <m:t>)</m:t>
        </m:r>
      </m:oMath>
      <w:r>
        <w:t xml:space="preserve">. Then the induced map on each hom-set is a bijection by definition. The functor is therefore full and faithful on that image. A “faithful but not full” theorem requires additional morphism restrictions—such as a coupling graph that forces selected blocks to vanish. Since such a restriction is not needed for the direct-sum calculus, the standalone universality section should be deleted. This correction follows from the definition supplied in the rewrite specification itself. fileciteturn0file0</w:t>
      </w:r>
    </w:p>
    <w:p>
      <w:pPr>
        <w:pStyle w:val="BodyText"/>
      </w:pPr>
      <w:r>
        <w:t xml:space="preserve">For label-weighted similarity, define</w:t>
      </w:r>
    </w:p>
    <w:p>
      <w:pPr>
        <w:pStyle w:val="BodyText"/>
      </w:pPr>
      <m:oMathPara>
        <m:oMathParaPr>
          <m:jc m:val="center"/>
        </m:oMathParaPr>
        <m:oMath>
          <m:sSub>
            <m:e>
              <m:r>
                <m:t>B</m:t>
              </m:r>
            </m:e>
            <m:sub>
              <m:r>
                <m:t>w</m:t>
              </m:r>
            </m:sub>
          </m:sSub>
          <m:r>
            <m:rPr>
              <m:sty m:val="p"/>
            </m:rPr>
            <m:t>(</m:t>
          </m:r>
          <m:r>
            <m:t>H</m:t>
          </m:r>
          <m:r>
            <m:rPr>
              <m:sty m:val="p"/>
            </m:rPr>
            <m:t>,</m:t>
          </m:r>
          <m:r>
            <m:t>K</m:t>
          </m:r>
          <m:r>
            <m:rPr>
              <m:sty m:val="p"/>
            </m:rPr>
            <m:t>)</m:t>
          </m:r>
          <m:r>
            <m:rPr>
              <m:sty m:val="p"/>
            </m:rPr>
            <m:t>=</m:t>
          </m:r>
          <m:nary>
            <m:naryPr>
              <m:chr m:val="∑"/>
              <m:limLoc m:val="undOvr"/>
              <m:subHide m:val="off"/>
              <m:supHide m:val="on"/>
            </m:naryPr>
            <m:sub>
              <m:r>
                <m:t>ℓ</m:t>
              </m:r>
              <m:r>
                <m:rPr>
                  <m:sty m:val="p"/>
                </m:rPr>
                <m:t>∈</m:t>
              </m:r>
              <m:r>
                <m:t>L</m:t>
              </m:r>
            </m:sub>
            <m:sup>
              <m:r>
                <m:t>​</m:t>
              </m:r>
            </m:sup>
            <m:e>
              <m:sSub>
                <m:e>
                  <m:r>
                    <m:t>w</m:t>
                  </m:r>
                </m:e>
                <m:sub>
                  <m:r>
                    <m:t>ℓ</m:t>
                  </m:r>
                </m:sub>
              </m:sSub>
            </m:e>
          </m:nary>
          <m:r>
            <m:rPr>
              <m:sty m:val="p"/>
            </m:rPr>
            <m:t>⟨</m:t>
          </m:r>
          <m:sSub>
            <m:e>
              <m:r>
                <m:t>H</m:t>
              </m:r>
            </m:e>
            <m:sub>
              <m:r>
                <m:t>ℓ</m:t>
              </m:r>
            </m:sub>
          </m:sSub>
          <m:r>
            <m:rPr>
              <m:sty m:val="p"/>
            </m:rPr>
            <m:t>,</m:t>
          </m:r>
          <m:sSub>
            <m:e>
              <m:r>
                <m:t>K</m:t>
              </m:r>
            </m:e>
            <m:sub>
              <m:r>
                <m:t>ℓ</m:t>
              </m:r>
            </m:sub>
          </m:sSub>
          <m:sSub>
            <m:e>
              <m:r>
                <m:rPr>
                  <m:sty m:val="p"/>
                </m:rPr>
                <m:t>⟩</m:t>
              </m:r>
            </m:e>
            <m:sub>
              <m:r>
                <m:t>ℓ</m:t>
              </m:r>
            </m:sub>
          </m:sSub>
          <m:r>
            <m:rPr>
              <m:sty m:val="p"/>
            </m:rPr>
            <m:t>.</m:t>
          </m:r>
        </m:oMath>
      </m:oMathPara>
    </w:p>
    <w:p>
      <w:pPr>
        <w:pStyle w:val="FirstParagraph"/>
      </w:pPr>
      <w:r>
        <w:t xml:space="preserve">If every</w:t>
      </w:r>
      <w:r>
        <w:t xml:space="preserve"> </w:t>
      </w:r>
      <m:oMath>
        <m:sSub>
          <m:e>
            <m:r>
              <m:t>w</m:t>
            </m:r>
          </m:e>
          <m:sub>
            <m:r>
              <m:t>ℓ</m:t>
            </m:r>
          </m:sub>
        </m:sSub>
        <m:r>
          <m:rPr>
            <m:sty m:val="p"/>
          </m:rPr>
          <m:t>&gt;</m:t>
        </m:r>
        <m:r>
          <m:t>0</m:t>
        </m:r>
      </m:oMath>
      <w:r>
        <w:t xml:space="preserve">, then for every nonzero</w:t>
      </w:r>
      <w:r>
        <w:t xml:space="preserve"> </w:t>
      </w:r>
      <m:oMath>
        <m:r>
          <m:t>H</m:t>
        </m:r>
      </m:oMath>
      <w:r>
        <w:t xml:space="preserve">, at least one</w:t>
      </w:r>
      <w:r>
        <w:t xml:space="preserve"> </w:t>
      </w:r>
      <m:oMath>
        <m:sSub>
          <m:e>
            <m:r>
              <m:t>H</m:t>
            </m:r>
          </m:e>
          <m:sub>
            <m:r>
              <m:t>ℓ</m:t>
            </m:r>
          </m:sub>
        </m:sSub>
        <m:r>
          <m:rPr>
            <m:sty m:val="p"/>
          </m:rPr>
          <m:t>≠</m:t>
        </m:r>
        <m:r>
          <m:t>0</m:t>
        </m:r>
      </m:oMath>
      <w:r>
        <w:t xml:space="preserve">, so</w:t>
      </w:r>
    </w:p>
    <w:p>
      <w:pPr>
        <w:pStyle w:val="BodyText"/>
      </w:pPr>
      <m:oMathPara>
        <m:oMathParaPr>
          <m:jc m:val="center"/>
        </m:oMathParaPr>
        <m:oMath>
          <m:sSub>
            <m:e>
              <m:r>
                <m:t>B</m:t>
              </m:r>
            </m:e>
            <m:sub>
              <m:r>
                <m:t>w</m:t>
              </m:r>
            </m:sub>
          </m:sSub>
          <m:r>
            <m:rPr>
              <m:sty m:val="p"/>
            </m:rPr>
            <m:t>(</m:t>
          </m:r>
          <m:r>
            <m:t>H</m:t>
          </m:r>
          <m:r>
            <m:rPr>
              <m:sty m:val="p"/>
            </m:rPr>
            <m:t>,</m:t>
          </m:r>
          <m:r>
            <m:t>H</m:t>
          </m:r>
          <m:r>
            <m:rPr>
              <m:sty m:val="p"/>
            </m:rPr>
            <m:t>)</m:t>
          </m:r>
          <m:r>
            <m:rPr>
              <m:sty m:val="p"/>
            </m:rPr>
            <m:t>=</m:t>
          </m:r>
          <m:nary>
            <m:naryPr>
              <m:chr m:val="∑"/>
              <m:limLoc m:val="undOvr"/>
              <m:subHide m:val="off"/>
              <m:supHide m:val="on"/>
            </m:naryPr>
            <m:sub>
              <m:r>
                <m:t>ℓ</m:t>
              </m:r>
            </m:sub>
            <m:sup>
              <m:r>
                <m:t>​</m:t>
              </m:r>
            </m:sup>
            <m:e>
              <m:sSub>
                <m:e>
                  <m:r>
                    <m:t>w</m:t>
                  </m:r>
                </m:e>
                <m:sub>
                  <m:r>
                    <m:t>ℓ</m:t>
                  </m:r>
                </m:sub>
              </m:sSub>
            </m:e>
          </m:nary>
          <m:r>
            <m:rPr>
              <m:sty m:val="p"/>
            </m:rPr>
            <m:t>∥</m:t>
          </m:r>
          <m:sSub>
            <m:e>
              <m:r>
                <m:t>H</m:t>
              </m:r>
            </m:e>
            <m:sub>
              <m:r>
                <m:t>ℓ</m:t>
              </m:r>
            </m:sub>
          </m:sSub>
          <m:sSup>
            <m:e>
              <m:r>
                <m:rPr>
                  <m:sty m:val="p"/>
                </m:rPr>
                <m:t>∥</m:t>
              </m:r>
            </m:e>
            <m:sup>
              <m:r>
                <m:t>2</m:t>
              </m:r>
            </m:sup>
          </m:sSup>
          <m:r>
            <m:rPr>
              <m:sty m:val="p"/>
            </m:rPr>
            <m:t>&gt;</m:t>
          </m:r>
          <m:r>
            <m:t>0</m:t>
          </m:r>
          <m:r>
            <m:rPr>
              <m:sty m:val="p"/>
            </m:rPr>
            <m:t>.</m:t>
          </m:r>
        </m:oMath>
      </m:oMathPara>
    </w:p>
    <w:p>
      <w:pPr>
        <w:pStyle w:val="FirstParagraph"/>
      </w:pPr>
      <w:r>
        <w:t xml:space="preserve">Symmetry and bilinearity follow componentwise. Thus</w:t>
      </w:r>
      <w:r>
        <w:t xml:space="preserve"> </w:t>
      </w:r>
      <m:oMath>
        <m:sSub>
          <m:e>
            <m:r>
              <m:t>B</m:t>
            </m:r>
          </m:e>
          <m:sub>
            <m:r>
              <m:t>w</m:t>
            </m:r>
          </m:sub>
        </m:sSub>
      </m:oMath>
      <w:r>
        <w:t xml:space="preserve"> </w:t>
      </w:r>
      <w:r>
        <w:t xml:space="preserve">is an inner product.</w:t>
      </w:r>
    </w:p>
    <w:p>
      <w:pPr>
        <w:pStyle w:val="BodyText"/>
      </w:pPr>
      <w:r>
        <w:t xml:space="preserve">If</w:t>
      </w:r>
      <w:r>
        <w:t xml:space="preserve"> </w:t>
      </w:r>
      <m:oMath>
        <m:sSub>
          <m:e>
            <m:r>
              <m:t>w</m:t>
            </m:r>
          </m:e>
          <m:sub>
            <m:r>
              <m:t>ℓ</m:t>
            </m:r>
          </m:sub>
        </m:sSub>
        <m:r>
          <m:rPr>
            <m:sty m:val="p"/>
          </m:rPr>
          <m:t>≥</m:t>
        </m:r>
        <m:r>
          <m:t>0</m:t>
        </m:r>
      </m:oMath>
      <w:r>
        <w:t xml:space="preserve"> </w:t>
      </w:r>
      <w:r>
        <w:t xml:space="preserve">for every label but some</w:t>
      </w:r>
      <w:r>
        <w:t xml:space="preserve"> </w:t>
      </w:r>
      <m:oMath>
        <m:sSub>
          <m:e>
            <m:r>
              <m:t>w</m:t>
            </m:r>
          </m:e>
          <m:sub>
            <m:r>
              <m:t>j</m:t>
            </m:r>
          </m:sub>
        </m:sSub>
        <m:r>
          <m:rPr>
            <m:sty m:val="p"/>
          </m:rPr>
          <m:t>=</m:t>
        </m:r>
        <m:r>
          <m:t>0</m:t>
        </m:r>
      </m:oMath>
      <w:r>
        <w:t xml:space="preserve">, choose a nonzero state supported only in</w:t>
      </w:r>
      <w:r>
        <w:t xml:space="preserve"> </w:t>
      </w:r>
      <m:oMath>
        <m:sSub>
          <m:e>
            <m:r>
              <m:t>H</m:t>
            </m:r>
          </m:e>
          <m:sub>
            <m:r>
              <m:t>j</m:t>
            </m:r>
          </m:sub>
        </m:sSub>
      </m:oMath>
      <w:r>
        <w:t xml:space="preserve">. Then</w:t>
      </w:r>
      <w:r>
        <w:t xml:space="preserve"> </w:t>
      </w:r>
      <m:oMath>
        <m:sSub>
          <m:e>
            <m:r>
              <m:t>B</m:t>
            </m:r>
          </m:e>
          <m:sub>
            <m:r>
              <m:t>w</m:t>
            </m:r>
          </m:sub>
        </m:sSub>
        <m:r>
          <m:rPr>
            <m:sty m:val="p"/>
          </m:rPr>
          <m:t>(</m:t>
        </m:r>
        <m:r>
          <m:t>H</m:t>
        </m:r>
        <m:r>
          <m:rPr>
            <m:sty m:val="p"/>
          </m:rPr>
          <m:t>,</m:t>
        </m:r>
        <m:r>
          <m:t>H</m:t>
        </m:r>
        <m:r>
          <m:rPr>
            <m:sty m:val="p"/>
          </m:rPr>
          <m:t>)</m:t>
        </m:r>
        <m:r>
          <m:rPr>
            <m:sty m:val="p"/>
          </m:rPr>
          <m:t>=</m:t>
        </m:r>
        <m:r>
          <m:t>0</m:t>
        </m:r>
      </m:oMath>
      <w:r>
        <w:t xml:space="preserve"> </w:t>
      </w:r>
      <w:r>
        <w:t xml:space="preserve">although</w:t>
      </w:r>
      <w:r>
        <w:t xml:space="preserve"> </w:t>
      </w:r>
      <m:oMath>
        <m:r>
          <m:t>H</m:t>
        </m:r>
        <m:r>
          <m:rPr>
            <m:sty m:val="p"/>
          </m:rPr>
          <m:t>≠</m:t>
        </m:r>
        <m:r>
          <m:t>0</m:t>
        </m:r>
      </m:oMath>
      <w:r>
        <w:t xml:space="preserve">. The induced quantity</w:t>
      </w:r>
    </w:p>
    <w:p>
      <w:pPr>
        <w:pStyle w:val="BodyText"/>
      </w:pPr>
      <m:oMathPara>
        <m:oMathParaPr>
          <m:jc m:val="center"/>
        </m:oMathParaPr>
        <m:oMath>
          <m:r>
            <m:rPr>
              <m:sty m:val="p"/>
            </m:rPr>
            <m:t>∥</m:t>
          </m:r>
          <m:r>
            <m:t>H</m:t>
          </m:r>
          <m:sSub>
            <m:e>
              <m:r>
                <m:rPr>
                  <m:sty m:val="p"/>
                </m:rPr>
                <m:t>∥</m:t>
              </m:r>
            </m:e>
            <m:sub>
              <m:r>
                <m:t>w</m:t>
              </m:r>
            </m:sub>
          </m:sSub>
          <m:r>
            <m:rPr>
              <m:sty m:val="p"/>
            </m:rPr>
            <m:t>=</m:t>
          </m:r>
          <m:rad>
            <m:radPr>
              <m:degHide m:val="on"/>
            </m:radPr>
            <m:deg/>
            <m:e>
              <m:sSub>
                <m:e>
                  <m:r>
                    <m:t>B</m:t>
                  </m:r>
                </m:e>
                <m:sub>
                  <m:r>
                    <m:t>w</m:t>
                  </m:r>
                </m:sub>
              </m:sSub>
              <m:r>
                <m:rPr>
                  <m:sty m:val="p"/>
                </m:rPr>
                <m:t>(</m:t>
              </m:r>
              <m:r>
                <m:t>H</m:t>
              </m:r>
              <m:r>
                <m:rPr>
                  <m:sty m:val="p"/>
                </m:rPr>
                <m:t>,</m:t>
              </m:r>
              <m:r>
                <m:t>H</m:t>
              </m:r>
              <m:r>
                <m:rPr>
                  <m:sty m:val="p"/>
                </m:rPr>
                <m:t>)</m:t>
              </m:r>
            </m:e>
          </m:rad>
        </m:oMath>
      </m:oMathPara>
    </w:p>
    <w:p>
      <w:pPr>
        <w:pStyle w:val="FirstParagraph"/>
      </w:pPr>
      <w:r>
        <w:t xml:space="preserve">is therefore only a seminorm on the full direct sum. This is the distinction requested by the companion-document guidance in the rewrite specification. fileciteturn0file0</w:t>
      </w:r>
    </w:p>
    <w:p>
      <w:pPr>
        <w:pStyle w:val="BodyText"/>
      </w:pPr>
      <w:r>
        <w:t xml:space="preserve">For a general flattened cross-label bilinear form</w:t>
      </w:r>
    </w:p>
    <w:p>
      <w:pPr>
        <w:pStyle w:val="BodyText"/>
      </w:pPr>
      <m:oMathPara>
        <m:oMathParaPr>
          <m:jc m:val="center"/>
        </m:oMathParaPr>
        <m:oMath>
          <m:sSub>
            <m:e>
              <m:r>
                <m:t>B</m:t>
              </m:r>
            </m:e>
            <m:sub>
              <m:r>
                <m:t>W</m:t>
              </m:r>
            </m:sub>
          </m:sSub>
          <m:r>
            <m:rPr>
              <m:sty m:val="p"/>
            </m:rPr>
            <m:t>(</m:t>
          </m:r>
          <m:r>
            <m:t>H</m:t>
          </m:r>
          <m:r>
            <m:rPr>
              <m:sty m:val="p"/>
            </m:rPr>
            <m:t>,</m:t>
          </m:r>
          <m:r>
            <m:t>K</m:t>
          </m:r>
          <m:r>
            <m:rPr>
              <m:sty m:val="p"/>
            </m:rPr>
            <m:t>)</m:t>
          </m:r>
          <m:r>
            <m:rPr>
              <m:sty m:val="p"/>
            </m:rPr>
            <m:t>=</m:t>
          </m:r>
          <m:sSup>
            <m:e>
              <m:r>
                <m:t>H</m:t>
              </m:r>
            </m:e>
            <m:sup>
              <m:r>
                <m:rPr>
                  <m:sty m:val="p"/>
                </m:rPr>
                <m:t>⊤</m:t>
              </m:r>
            </m:sup>
          </m:sSup>
          <m:r>
            <m:t>W</m:t>
          </m:r>
          <m:r>
            <m:t>K</m:t>
          </m:r>
          <m:r>
            <m:rPr>
              <m:sty m:val="p"/>
            </m:rPr>
            <m:t>,</m:t>
          </m:r>
        </m:oMath>
      </m:oMathPara>
    </w:p>
    <w:p>
      <w:pPr>
        <w:pStyle w:val="FirstParagraph"/>
      </w:pPr>
      <w:r>
        <w:t xml:space="preserve">the classification is similarly exact. Symmetry for all</w:t>
      </w:r>
      <w:r>
        <w:t xml:space="preserve"> </w:t>
      </w:r>
      <m:oMath>
        <m:r>
          <m:t>H</m:t>
        </m:r>
        <m:r>
          <m:rPr>
            <m:sty m:val="p"/>
          </m:rPr>
          <m:t>,</m:t>
        </m:r>
        <m:r>
          <m:t>K</m:t>
        </m:r>
      </m:oMath>
      <w:r>
        <w:t xml:space="preserve"> </w:t>
      </w:r>
      <w:r>
        <w:t xml:space="preserve">requires</w:t>
      </w:r>
      <w:r>
        <w:t xml:space="preserve"> </w:t>
      </w:r>
      <m:oMath>
        <m:r>
          <m:t>W</m:t>
        </m:r>
        <m:r>
          <m:rPr>
            <m:sty m:val="p"/>
          </m:rPr>
          <m:t>=</m:t>
        </m:r>
        <m:sSup>
          <m:e>
            <m:r>
              <m:t>W</m:t>
            </m:r>
          </m:e>
          <m:sup>
            <m:r>
              <m:rPr>
                <m:sty m:val="p"/>
              </m:rPr>
              <m:t>⊤</m:t>
            </m:r>
          </m:sup>
        </m:sSup>
      </m:oMath>
      <w:r>
        <w:t xml:space="preserve">. Positive definiteness requires</w:t>
      </w:r>
      <w:r>
        <w:t xml:space="preserve"> </w:t>
      </w:r>
      <m:oMath>
        <m:sSup>
          <m:e>
            <m:r>
              <m:t>H</m:t>
            </m:r>
          </m:e>
          <m:sup>
            <m:r>
              <m:rPr>
                <m:sty m:val="p"/>
              </m:rPr>
              <m:t>⊤</m:t>
            </m:r>
          </m:sup>
        </m:sSup>
        <m:r>
          <m:t>W</m:t>
        </m:r>
        <m:r>
          <m:t>H</m:t>
        </m:r>
        <m:r>
          <m:rPr>
            <m:sty m:val="p"/>
          </m:rPr>
          <m:t>&gt;</m:t>
        </m:r>
        <m:r>
          <m:t>0</m:t>
        </m:r>
      </m:oMath>
      <w:r>
        <w:t xml:space="preserve"> </w:t>
      </w:r>
      <w:r>
        <w:t xml:space="preserve">for every nonzero</w:t>
      </w:r>
      <w:r>
        <w:t xml:space="preserve"> </w:t>
      </w:r>
      <m:oMath>
        <m:r>
          <m:t>H</m:t>
        </m:r>
      </m:oMath>
      <w:r>
        <w:t xml:space="preserve">. Hence</w:t>
      </w:r>
      <w:r>
        <w:t xml:space="preserve"> </w:t>
      </w:r>
      <m:oMath>
        <m:r>
          <m:t>W</m:t>
        </m:r>
      </m:oMath>
      <w:r>
        <w:t xml:space="preserve"> </w:t>
      </w:r>
      <w:r>
        <w:t xml:space="preserve">must be symmetric positive definite for</w:t>
      </w:r>
      <w:r>
        <w:t xml:space="preserve"> </w:t>
      </w:r>
      <m:oMath>
        <m:sSub>
          <m:e>
            <m:r>
              <m:t>B</m:t>
            </m:r>
          </m:e>
          <m:sub>
            <m:r>
              <m:t>W</m:t>
            </m:r>
          </m:sub>
        </m:sSub>
      </m:oMath>
      <w:r>
        <w:t xml:space="preserve"> </w:t>
      </w:r>
      <w:r>
        <w:t xml:space="preserve">to be an inner product on the full space. A symmetric but singular positive-semidefinite matrix defines only a semidefinite form and induced seminorm. An indefinite or asymmetric</w:t>
      </w:r>
      <w:r>
        <w:t xml:space="preserve"> </w:t>
      </w:r>
      <m:oMath>
        <m:r>
          <m:t>W</m:t>
        </m:r>
      </m:oMath>
      <w:r>
        <w:t xml:space="preserve"> </w:t>
      </w:r>
      <w:r>
        <w:t xml:space="preserve">can still be useful, but the paper should call it a</w:t>
      </w:r>
      <w:r>
        <w:t xml:space="preserve"> </w:t>
      </w:r>
      <w:r>
        <w:rPr>
          <w:b/>
          <w:bCs/>
        </w:rPr>
        <w:t xml:space="preserve">compatibility score</w:t>
      </w:r>
      <w:r>
        <w:t xml:space="preserve"> </w:t>
      </w:r>
      <w:r>
        <w:t xml:space="preserve">or</w:t>
      </w:r>
      <w:r>
        <w:t xml:space="preserve"> </w:t>
      </w:r>
      <w:r>
        <w:rPr>
          <w:b/>
          <w:bCs/>
        </w:rPr>
        <w:t xml:space="preserve">similarity score</w:t>
      </w:r>
      <w:r>
        <w:t xml:space="preserve">, not an inner product or metric.</w:t>
      </w:r>
    </w:p>
    <w:p>
      <w:pPr>
        <w:pStyle w:val="BodyText"/>
      </w:pPr>
      <w:r>
        <w:t xml:space="preserve">Dimension-changing maps require an explicit contract rather than rhetoric about “transdimensional” invertibility. Let</w:t>
      </w:r>
    </w:p>
    <w:p>
      <w:pPr>
        <w:pStyle w:val="BodyText"/>
      </w:pPr>
      <m:oMathPara>
        <m:oMathParaPr>
          <m:jc m:val="center"/>
        </m:oMathParaPr>
        <m:oMath>
          <m:r>
            <m:t>A</m:t>
          </m:r>
          <m:r>
            <m:rPr>
              <m:sty m:val="p"/>
            </m:rPr>
            <m:t>:</m:t>
          </m:r>
          <m:sSup>
            <m:e>
              <m:r>
                <m:rPr>
                  <m:scr m:val="double-struck"/>
                  <m:sty m:val="p"/>
                </m:rPr>
                <m:t>R</m:t>
              </m:r>
            </m:e>
            <m:sup>
              <m:r>
                <m:t>n</m:t>
              </m:r>
            </m:sup>
          </m:sSup>
          <m:r>
            <m:rPr>
              <m:sty m:val="p"/>
            </m:rPr>
            <m:t>→</m:t>
          </m:r>
          <m:sSup>
            <m:e>
              <m:r>
                <m:rPr>
                  <m:scr m:val="double-struck"/>
                  <m:sty m:val="p"/>
                </m:rPr>
                <m:t>R</m:t>
              </m:r>
            </m:e>
            <m:sup>
              <m:r>
                <m:t>m</m:t>
              </m:r>
            </m:sup>
          </m:sSup>
          <m:r>
            <m:rPr>
              <m:sty m:val="p"/>
            </m:rPr>
            <m:t>.</m:t>
          </m:r>
        </m:oMath>
      </m:oMathPara>
    </w:p>
    <w:p>
      <w:pPr>
        <w:pStyle w:val="FirstParagraph"/>
      </w:pPr>
      <w:r>
        <w:t xml:space="preserve">When</w:t>
      </w:r>
      <w:r>
        <w:t xml:space="preserve"> </w:t>
      </w:r>
      <m:oMath>
        <m:r>
          <m:t>A</m:t>
        </m:r>
      </m:oMath>
      <w:r>
        <w:t xml:space="preserve"> </w:t>
      </w:r>
      <w:r>
        <w:t xml:space="preserve">has a nontrivial kernel, distinct inputs can have identical outputs, so exact recovery is mathematically impossible without extra assumptions. When a Moore–Penrose pseudoinverse is used, it supplies the standard generalized-inverse/least-squares behavior rather than undoing information that the forward map destroyed.</w:t>
      </w:r>
    </w:p>
    <w:p>
      <w:pPr>
        <w:pStyle w:val="BodyText"/>
      </w:pPr>
      <w:r>
        <w:t xml:space="preserve">For singular-value decomposition</w:t>
      </w:r>
    </w:p>
    <w:p>
      <w:pPr>
        <w:pStyle w:val="BodyText"/>
      </w:pPr>
      <m:oMathPara>
        <m:oMathParaPr>
          <m:jc m:val="center"/>
        </m:oMathParaPr>
        <m:oMath>
          <m:r>
            <m:t>A</m:t>
          </m:r>
          <m:r>
            <m:rPr>
              <m:sty m:val="p"/>
            </m:rPr>
            <m:t>=</m:t>
          </m:r>
          <m:r>
            <m:t>U</m:t>
          </m:r>
          <m:r>
            <m:rPr>
              <m:sty m:val="p"/>
            </m:rPr>
            <m:t>Σ</m:t>
          </m:r>
          <m:sSup>
            <m:e>
              <m:r>
                <m:t>V</m:t>
              </m:r>
            </m:e>
            <m:sup>
              <m:r>
                <m:rPr>
                  <m:sty m:val="p"/>
                </m:rPr>
                <m:t>⊤</m:t>
              </m:r>
            </m:sup>
          </m:sSup>
          <m:r>
            <m:rPr>
              <m:sty m:val="p"/>
            </m:rPr>
            <m:t>,</m:t>
          </m:r>
        </m:oMath>
      </m:oMathPara>
    </w:p>
    <w:p>
      <w:pPr>
        <w:pStyle w:val="FirstParagraph"/>
      </w:pPr>
      <w:r>
        <w:t xml:space="preserve">the regularized map used in the supplied worked example is</w:t>
      </w:r>
    </w:p>
    <w:p>
      <w:pPr>
        <w:pStyle w:val="BodyText"/>
      </w:pPr>
      <m:oMathPara>
        <m:oMathParaPr>
          <m:jc m:val="center"/>
        </m:oMathParaPr>
        <m:oMath>
          <m:sSubSup>
            <m:e>
              <m:r>
                <m:t>A</m:t>
              </m:r>
            </m:e>
            <m:sub>
              <m:r>
                <m:t>λ</m:t>
              </m:r>
            </m:sub>
            <m:sup>
              <m:r>
                <m:rPr>
                  <m:sty m:val="p"/>
                </m:rPr>
                <m:t>†</m:t>
              </m:r>
            </m:sup>
          </m:sSubSup>
          <m:r>
            <m:rPr>
              <m:sty m:val="p"/>
            </m:rPr>
            <m:t>=</m:t>
          </m:r>
          <m:r>
            <m:t>V</m:t>
          </m:r>
          <m:r>
            <m:rPr>
              <m:sty m:val="p"/>
            </m:rPr>
            <m:t>(</m:t>
          </m:r>
          <m:sSup>
            <m:e>
              <m:r>
                <m:rPr>
                  <m:sty m:val="p"/>
                </m:rPr>
                <m:t>Σ</m:t>
              </m:r>
            </m:e>
            <m:sup>
              <m:r>
                <m:t>2</m:t>
              </m:r>
            </m:sup>
          </m:sSup>
          <m:r>
            <m:rPr>
              <m:sty m:val="p"/>
            </m:rPr>
            <m:t>+</m:t>
          </m:r>
          <m:r>
            <m:t>λ</m:t>
          </m:r>
          <m:r>
            <m:t>I</m:t>
          </m:r>
          <m:sSup>
            <m:e>
              <m:r>
                <m:rPr>
                  <m:sty m:val="p"/>
                </m:rPr>
                <m:t>)</m:t>
              </m:r>
            </m:e>
            <m:sup>
              <m:r>
                <m:rPr>
                  <m:sty m:val="p"/>
                </m:rPr>
                <m:t>−</m:t>
              </m:r>
              <m:r>
                <m:t>1</m:t>
              </m:r>
            </m:sup>
          </m:sSup>
          <m:r>
            <m:rPr>
              <m:sty m:val="p"/>
            </m:rPr>
            <m:t>Σ</m:t>
          </m:r>
          <m:sSup>
            <m:e>
              <m:r>
                <m:t>U</m:t>
              </m:r>
            </m:e>
            <m:sup>
              <m:r>
                <m:rPr>
                  <m:sty m:val="p"/>
                </m:rPr>
                <m:t>⊤</m:t>
              </m:r>
            </m:sup>
          </m:sSup>
          <m:r>
            <m:rPr>
              <m:sty m:val="p"/>
            </m:rPr>
            <m:t>.</m:t>
          </m:r>
        </m:oMath>
      </m:oMathPara>
    </w:p>
    <w:p>
      <w:pPr>
        <w:pStyle w:val="FirstParagraph"/>
      </w:pPr>
      <w:r>
        <w:t xml:space="preserve">For positive</w:t>
      </w:r>
      <w:r>
        <w:t xml:space="preserve"> </w:t>
      </w:r>
      <m:oMath>
        <m:r>
          <m:t>λ</m:t>
        </m:r>
      </m:oMath>
      <w:r>
        <w:t xml:space="preserve">, this should preferably be called a</w:t>
      </w:r>
      <w:r>
        <w:t xml:space="preserve"> </w:t>
      </w:r>
      <w:r>
        <w:rPr>
          <w:b/>
          <w:bCs/>
        </w:rPr>
        <w:t xml:space="preserve">Tikhonov-regularized inverse map</w:t>
      </w:r>
      <w:r>
        <w:t xml:space="preserve">, not the Moore–Penrose pseudoinverse. The reason is visible directly in singular coordinates:</w:t>
      </w:r>
    </w:p>
    <w:p>
      <w:pPr>
        <w:pStyle w:val="BodyText"/>
      </w:pPr>
      <m:oMathPara>
        <m:oMathParaPr>
          <m:jc m:val="center"/>
        </m:oMathParaPr>
        <m:oMath>
          <m:sSubSup>
            <m:e>
              <m:r>
                <m:t>A</m:t>
              </m:r>
            </m:e>
            <m:sub>
              <m:r>
                <m:t>λ</m:t>
              </m:r>
            </m:sub>
            <m:sup>
              <m:r>
                <m:rPr>
                  <m:sty m:val="p"/>
                </m:rPr>
                <m:t>†</m:t>
              </m:r>
            </m:sup>
          </m:sSubSup>
          <m:r>
            <m:t>A</m:t>
          </m:r>
          <m:r>
            <m:rPr>
              <m:sty m:val="p"/>
            </m:rPr>
            <m:t>=</m:t>
          </m:r>
          <m:r>
            <m:t>V</m:t>
          </m:r>
          <m:r>
            <m:t> </m:t>
          </m:r>
          <m:r>
            <m:rPr>
              <m:sty m:val="p"/>
            </m:rPr>
            <m:t>diag</m:t>
          </m:r>
          <m:d>
            <m:dPr>
              <m:begChr m:val="("/>
              <m:sepChr m:val=""/>
              <m:endChr m:val=")"/>
              <m:grow/>
            </m:dPr>
            <m:e>
              <m:f>
                <m:fPr>
                  <m:type m:val="bar"/>
                </m:fPr>
                <m:num>
                  <m:sSubSup>
                    <m:e>
                      <m:r>
                        <m:t>σ</m:t>
                      </m:r>
                    </m:e>
                    <m:sub>
                      <m:r>
                        <m:t>i</m:t>
                      </m:r>
                    </m:sub>
                    <m:sup>
                      <m:r>
                        <m:t>2</m:t>
                      </m:r>
                    </m:sup>
                  </m:sSubSup>
                </m:num>
                <m:den>
                  <m:sSubSup>
                    <m:e>
                      <m:r>
                        <m:t>σ</m:t>
                      </m:r>
                    </m:e>
                    <m:sub>
                      <m:r>
                        <m:t>i</m:t>
                      </m:r>
                    </m:sub>
                    <m:sup>
                      <m:r>
                        <m:t>2</m:t>
                      </m:r>
                    </m:sup>
                  </m:sSubSup>
                  <m:r>
                    <m:rPr>
                      <m:sty m:val="p"/>
                    </m:rPr>
                    <m:t>+</m:t>
                  </m:r>
                  <m:r>
                    <m:t>λ</m:t>
                  </m:r>
                </m:den>
              </m:f>
            </m:e>
          </m:d>
          <m:sSup>
            <m:e>
              <m:r>
                <m:t>V</m:t>
              </m:r>
            </m:e>
            <m:sup>
              <m:r>
                <m:rPr>
                  <m:sty m:val="p"/>
                </m:rPr>
                <m:t>⊤</m:t>
              </m:r>
            </m:sup>
          </m:sSup>
          <m:r>
            <m:rPr>
              <m:sty m:val="p"/>
            </m:rPr>
            <m:t>.</m:t>
          </m:r>
        </m:oMath>
      </m:oMathPara>
    </w:p>
    <w:p>
      <w:pPr>
        <w:pStyle w:val="FirstParagraph"/>
      </w:pPr>
      <w:r>
        <w:t xml:space="preserve">Every nonzero singular direction is attenuated when</w:t>
      </w:r>
      <w:r>
        <w:t xml:space="preserve"> </w:t>
      </w:r>
      <m:oMath>
        <m:r>
          <m:t>λ</m:t>
        </m:r>
        <m:r>
          <m:rPr>
            <m:sty m:val="p"/>
          </m:rPr>
          <m:t>&gt;</m:t>
        </m:r>
        <m:r>
          <m:t>0</m:t>
        </m:r>
      </m:oMath>
      <w:r>
        <w:t xml:space="preserve">; this product is not the identity. The notation may retain a dagger with a subscript if project compatibility requires it, but the prose should not imply exact inversion.</w:t>
      </w:r>
    </w:p>
    <w:p>
      <w:pPr>
        <w:pStyle w:val="BodyText"/>
      </w:pPr>
      <w:r>
        <w:t xml:space="preserve">Johnson–Lindenstrauss belongs here only as a</w:t>
      </w:r>
      <w:r>
        <w:t xml:space="preserve"> </w:t>
      </w:r>
      <w:r>
        <w:rPr>
          <w:b/>
          <w:bCs/>
        </w:rPr>
        <w:t xml:space="preserve">distortion theorem for finite point sets</w:t>
      </w:r>
      <w:r>
        <w:t xml:space="preserve">. The classical result permits a finite collection of points to be embedded into dimension</w:t>
      </w:r>
    </w:p>
    <w:p>
      <w:pPr>
        <w:pStyle w:val="BodyText"/>
      </w:pPr>
      <m:oMathPara>
        <m:oMathParaPr>
          <m:jc m:val="center"/>
        </m:oMathParaPr>
        <m:oMath>
          <m:r>
            <m:t>m</m:t>
          </m:r>
          <m:r>
            <m:rPr>
              <m:sty m:val="p"/>
            </m:rPr>
            <m:t>=</m:t>
          </m:r>
          <m:r>
            <m:t>O</m:t>
          </m:r>
          <m:r>
            <m:rPr>
              <m:sty m:val="p"/>
            </m:rPr>
            <m:t>(</m:t>
          </m:r>
          <m:sSup>
            <m:e>
              <m:r>
                <m:t>ε</m:t>
              </m:r>
            </m:e>
            <m:sup>
              <m:r>
                <m:rPr>
                  <m:sty m:val="p"/>
                </m:rPr>
                <m:t>−</m:t>
              </m:r>
              <m:r>
                <m:t>2</m:t>
              </m:r>
            </m:sup>
          </m:sSup>
          <m:r>
            <m:rPr>
              <m:sty m:val="p"/>
            </m:rPr>
            <m:t>log</m:t>
          </m:r>
          <m:r>
            <m:t>N</m:t>
          </m:r>
          <m:r>
            <m:rPr>
              <m:sty m:val="p"/>
            </m:rPr>
            <m:t>)</m:t>
          </m:r>
        </m:oMath>
      </m:oMathPara>
    </w:p>
    <w:p>
      <w:pPr>
        <w:pStyle w:val="FirstParagraph"/>
      </w:pPr>
      <w:r>
        <w:t xml:space="preserve">while approximately preserving pairwise Euclidean distances, under the theorem’s probabilistic/existence conditions.</w:t>
      </w:r>
      <w:r>
        <w:t xml:space="preserve"> </w:t>
      </w:r>
      <w:hyperlink r:id="rId30">
        <w:r>
          <w:rPr>
            <w:rStyle w:val="Hyperlink"/>
          </w:rPr>
          <w:t xml:space="preserve">[22]</w:t>
        </w:r>
      </w:hyperlink>
      <w:r>
        <w:t xml:space="preserve"> </w:t>
      </w:r>
      <w:r>
        <w:t xml:space="preserve">It does not say that every dimension-reducing operator is invertible, that semantic content is preserved, or that similarity establishes identity or truth. That restraint is exactly consistent with the Nexus requirement that similarity never be promoted to identity and that information-losing transformations expose recoverability explicitly. fileciteturn0file0</w:t>
      </w:r>
    </w:p>
    <w:p>
      <w:pPr>
        <w:pStyle w:val="BodyText"/>
      </w:pPr>
      <w:r>
        <w:t xml:space="preserve">Low-rank block compression is equally standard. If a block has singular-value decomposition</w:t>
      </w:r>
    </w:p>
    <w:p>
      <w:pPr>
        <w:pStyle w:val="BodyText"/>
      </w:pPr>
      <m:oMathPara>
        <m:oMathParaPr>
          <m:jc m:val="center"/>
        </m:oMathParaPr>
        <m:oMath>
          <m:sSub>
            <m:e>
              <m:r>
                <m:t>T</m:t>
              </m:r>
            </m:e>
            <m:sub>
              <m:r>
                <m:t>t</m:t>
              </m:r>
              <m:r>
                <m:rPr>
                  <m:sty m:val="p"/>
                </m:rPr>
                <m:t>,</m:t>
              </m:r>
              <m:r>
                <m:t>s</m:t>
              </m:r>
            </m:sub>
          </m:sSub>
          <m:r>
            <m:rPr>
              <m:sty m:val="p"/>
            </m:rPr>
            <m:t>=</m:t>
          </m:r>
          <m:r>
            <m:t>U</m:t>
          </m:r>
          <m:r>
            <m:rPr>
              <m:sty m:val="p"/>
            </m:rPr>
            <m:t>Σ</m:t>
          </m:r>
          <m:sSup>
            <m:e>
              <m:r>
                <m:t>V</m:t>
              </m:r>
            </m:e>
            <m:sup>
              <m:r>
                <m:rPr>
                  <m:sty m:val="p"/>
                </m:rPr>
                <m:t>⊤</m:t>
              </m:r>
            </m:sup>
          </m:sSup>
          <m:r>
            <m:rPr>
              <m:sty m:val="p"/>
            </m:rPr>
            <m:t>,</m:t>
          </m:r>
        </m:oMath>
      </m:oMathPara>
    </w:p>
    <w:p>
      <w:pPr>
        <w:pStyle w:val="FirstParagraph"/>
      </w:pPr>
      <w:r>
        <w:t xml:space="preserve">its truncated SVD gives the optimal rank-constrained approximation under the standard Frobenius and spectral-norm formulations of the Eckart–Young–Mirsky theorem.</w:t>
      </w:r>
      <w:r>
        <w:t xml:space="preserve"> </w:t>
      </w:r>
      <w:hyperlink r:id="rId31">
        <w:r>
          <w:rPr>
            <w:rStyle w:val="Hyperlink"/>
          </w:rPr>
          <w:t xml:space="preserve">[23]</w:t>
        </w:r>
      </w:hyperlink>
      <w:r>
        <w:t xml:space="preserve"> </w:t>
      </w:r>
      <w:r>
        <w:t xml:space="preserve">Thus HTLA can legitimately compress each coupling block independently, provided the paper reports the retained rank or approximation tolerance and never converts approximation error into a semantic truth claim.</w:t>
      </w:r>
    </w:p>
    <w:p>
      <w:pPr>
        <w:pStyle w:val="BodyText"/>
      </w:pPr>
      <w:r>
        <w:t xml:space="preserve">The clean subsystem boundary is therefore: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22500"/>
                  <wp:effectExtent b="0" l="0" r="0" t="0"/>
                  <wp:docPr descr="Rendered Mermaid diagram 1" title="" id="33" name="Picture"/>
                  <a:graphic>
                    <a:graphicData uri="http://schemas.openxmlformats.org/drawingml/2006/picture">
                      <pic:pic>
                        <pic:nvPicPr>
                          <pic:cNvPr descr="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" id="34" name="Picture"/>
                          <pic:cNvPicPr>
                            <a:picLocks noChangeArrowheads="1" noChangeAspect="1"/>
                          </pic:cNvPicPr>
                        </pic:nvPicPr>
                        <pic:blipFill>
                          <a:blip r:embed="rId32"/>
                          <a:stretch>
                            <a:fillRect/>
                          </a:stretch>
                        </pic:blipFill>
                        <pic:spPr bwMode="auto">
                          <a:xfrm>
                            <a:off x="0" y="0"/>
                            <a:ext cx="5334000" cy="2222500"/>
                          </a:xfrm>
                          <a:prstGeom prst="rect">
                            <a:avLst/>
                          </a:prstGeom>
                          <a:noFill/>
                          <a:ln w="9525">
                            <a:noFill/>
                            <a:headEnd/>
                            <a:tailEnd/>
                          </a:ln>
                        </pic:spPr>
                      </pic:pic>
                    </a:graphicData>
                  </a:graphic>
                </wp:inline>
              </w:drawing>
            </w:r>
            <w:r>
              <w:br/>
            </w:r>
          </w:p>
        </w:tc>
      </w:tr>
    </w:tbl>
    <w:p>
      <w:pPr>
        <w:pStyle w:val="BodyText"/>
      </w:pPr>
      <w:r>
        <w:t xml:space="preserve">The four recoverability outcomes and the distinction between HTLA and the nonlinear layer are project-level architectural constraints supplied by Nexus. fileciteturn0file0 A nonlinear operation does not become invertible merely because its input and output components carry labels. If the nonlinear map identifies distinct states, clips values, thresholds them, saturates them, or otherwise destroys information, its inverse contract must reflect that loss. This is particularly important because the supplied Nexus specification explicitly supersedes the older circular-convolution-plus-saturation presentation of binding and requires the current information-losing binding semantics to surface genuine uncertainty instead. fileciteturn0file0</w:t>
      </w:r>
    </w:p>
    <w:p>
      <w:pPr>
        <w:pStyle w:val="BodyText"/>
      </w:pPr>
      <w:r>
        <w:t xml:space="preserve">The concentration result should be stated in its established form. For independent mean-zero sub-Gaussian coordinates with a suitable uniform sub-Gaussian scale</w:t>
      </w:r>
      <w:r>
        <w:t xml:space="preserve"> </w:t>
      </w:r>
      <m:oMath>
        <m:r>
          <m:t>K</m:t>
        </m:r>
      </m:oMath>
      <w:r>
        <w:t xml:space="preserve">, Hanson–Wright controls a quadratic form with the schematic tail</w:t>
      </w:r>
    </w:p>
    <w:p>
      <w:pPr>
        <w:pStyle w:val="BodyText"/>
      </w:pPr>
      <m:oMathPara>
        <m:oMathParaPr>
          <m:jc m:val="center"/>
        </m:oMathParaPr>
        <m:oMath>
          <m:r>
            <m:rPr>
              <m:sty m:val="p"/>
            </m:rPr>
            <m:t>Pr</m:t>
          </m:r>
          <m:r>
            <m:t>​</m:t>
          </m:r>
          <m:d>
            <m:dPr>
              <m:begChr m:val="("/>
              <m:sepChr m:val=""/>
              <m:endChr m:val=")"/>
              <m:grow/>
            </m:dPr>
            <m:e>
              <m:d>
                <m:dPr>
                  <m:begChr m:val="|"/>
                  <m:sepChr m:val=""/>
                  <m:endChr m:val="|"/>
                  <m:grow/>
                </m:dPr>
                <m:e>
                  <m:sSup>
                    <m:e>
                      <m:r>
                        <m:t>X</m:t>
                      </m:r>
                    </m:e>
                    <m:sup>
                      <m:r>
                        <m:rPr>
                          <m:sty m:val="p"/>
                        </m:rPr>
                        <m:t>⊤</m:t>
                      </m:r>
                    </m:sup>
                  </m:sSup>
                  <m:r>
                    <m:t>A</m:t>
                  </m:r>
                  <m:r>
                    <m:t>X</m:t>
                  </m:r>
                  <m:r>
                    <m:rPr>
                      <m:sty m:val="p"/>
                    </m:rPr>
                    <m:t>−</m:t>
                  </m:r>
                  <m:r>
                    <m:rPr>
                      <m:scr m:val="double-struck"/>
                      <m:sty m:val="p"/>
                    </m:rPr>
                    <m:t>E</m:t>
                  </m:r>
                  <m:r>
                    <m:rPr>
                      <m:sty m:val="p"/>
                    </m:rPr>
                    <m:t>[</m:t>
                  </m:r>
                  <m:sSup>
                    <m:e>
                      <m:r>
                        <m:t>X</m:t>
                      </m:r>
                    </m:e>
                    <m:sup>
                      <m:r>
                        <m:rPr>
                          <m:sty m:val="p"/>
                        </m:rPr>
                        <m:t>⊤</m:t>
                      </m:r>
                    </m:sup>
                  </m:sSup>
                  <m:r>
                    <m:t>A</m:t>
                  </m:r>
                  <m:r>
                    <m:t>X</m:t>
                  </m:r>
                  <m:r>
                    <m:rPr>
                      <m:sty m:val="p"/>
                    </m:rPr>
                    <m:t>]</m:t>
                  </m:r>
                </m:e>
              </m:d>
              <m:r>
                <m:rPr>
                  <m:sty m:val="p"/>
                </m:rPr>
                <m:t>&gt;</m:t>
              </m:r>
              <m:r>
                <m:t>t</m:t>
              </m:r>
            </m:e>
          </m:d>
          <m:r>
            <m:rPr>
              <m:sty m:val="p"/>
            </m:rPr>
            <m:t>≤</m:t>
          </m:r>
          <m:r>
            <m:t>2</m:t>
          </m:r>
          <m:r>
            <m:rPr>
              <m:sty m:val="p"/>
            </m:rPr>
            <m:t>exp</m:t>
          </m:r>
          <m:r>
            <m:t>​</m:t>
          </m:r>
          <m:d>
            <m:dPr>
              <m:begChr m:val="["/>
              <m:sepChr m:val=""/>
              <m:endChr m:val="]"/>
              <m:grow/>
            </m:dPr>
            <m:e>
              <m:r>
                <m:rPr>
                  <m:sty m:val="p"/>
                </m:rPr>
                <m:t>−</m:t>
              </m:r>
              <m:r>
                <m:t>c</m:t>
              </m:r>
              <m:r>
                <m:rPr>
                  <m:sty m:val="p"/>
                </m:rPr>
                <m:t>min</m:t>
              </m:r>
              <m:r>
                <m:t>​</m:t>
              </m:r>
              <m:d>
                <m:dPr>
                  <m:begChr m:val="("/>
                  <m:sepChr m:val=""/>
                  <m:endChr m:val=")"/>
                  <m:grow/>
                </m:dPr>
                <m:e>
                  <m:f>
                    <m:fPr>
                      <m:type m:val="bar"/>
                    </m:fPr>
                    <m:num>
                      <m:sSup>
                        <m:e>
                          <m:r>
                            <m:t>t</m:t>
                          </m:r>
                        </m:e>
                        <m:sup>
                          <m:r>
                            <m:t>2</m:t>
                          </m:r>
                        </m:sup>
                      </m:sSup>
                    </m:num>
                    <m:den>
                      <m:sSup>
                        <m:e>
                          <m:r>
                            <m:t>K</m:t>
                          </m:r>
                        </m:e>
                        <m:sup>
                          <m:r>
                            <m:t>4</m:t>
                          </m:r>
                        </m:sup>
                      </m:sSup>
                      <m:r>
                        <m:rPr>
                          <m:sty m:val="p"/>
                        </m:rPr>
                        <m:t>∥</m:t>
                      </m:r>
                      <m:r>
                        <m:t>A</m:t>
                      </m:r>
                      <m:sSubSup>
                        <m:e>
                          <m:r>
                            <m:rPr>
                              <m:sty m:val="p"/>
                            </m:rPr>
                            <m:t>∥</m:t>
                          </m:r>
                        </m:e>
                        <m:sub>
                          <m:r>
                            <m:t>F</m:t>
                          </m:r>
                        </m:sub>
                        <m:sup>
                          <m:r>
                            <m:t>2</m:t>
                          </m:r>
                        </m:sup>
                      </m:sSubSup>
                    </m:den>
                  </m:f>
                  <m:r>
                    <m:rPr>
                      <m:sty m:val="p"/>
                    </m:rPr>
                    <m:t>,</m:t>
                  </m:r>
                  <m:f>
                    <m:fPr>
                      <m:type m:val="bar"/>
                    </m:fPr>
                    <m:num>
                      <m:r>
                        <m:t>t</m:t>
                      </m:r>
                    </m:num>
                    <m:den>
                      <m:sSup>
                        <m:e>
                          <m:r>
                            <m:t>K</m:t>
                          </m:r>
                        </m:e>
                        <m:sup>
                          <m:r>
                            <m:t>2</m:t>
                          </m:r>
                        </m:sup>
                      </m:sSup>
                      <m:r>
                        <m:rPr>
                          <m:sty m:val="p"/>
                        </m:rPr>
                        <m:t>∥</m:t>
                      </m:r>
                      <m:r>
                        <m:t>A</m:t>
                      </m:r>
                      <m:sSub>
                        <m:e>
                          <m:r>
                            <m:rPr>
                              <m:sty m:val="p"/>
                            </m:rPr>
                            <m:t>∥</m:t>
                          </m:r>
                        </m:e>
                        <m:sub>
                          <m:r>
                            <m:rPr>
                              <m:sty m:val="p"/>
                            </m:rPr>
                            <m:t>o</m:t>
                          </m:r>
                          <m:r>
                            <m:rPr>
                              <m:sty m:val="p"/>
                            </m:rPr>
                            <m:t>p</m:t>
                          </m:r>
                        </m:sub>
                      </m:sSub>
                    </m:den>
                  </m:f>
                </m:e>
              </m:d>
            </m:e>
          </m:d>
          <m:r>
            <m:rPr>
              <m:sty m:val="p"/>
            </m:rPr>
            <m:t>.</m:t>
          </m:r>
        </m:oMath>
      </m:oMathPara>
    </w:p>
    <w:p>
      <w:pPr>
        <w:pStyle w:val="FirstParagraph"/>
      </w:pPr>
      <w:r>
        <w:t xml:space="preserve">This is the Rudelson–Vershynin form; the operator-norm branch is linear in</w:t>
      </w:r>
      <w:r>
        <w:t xml:space="preserve"> </w:t>
      </w:r>
      <m:oMath>
        <m:r>
          <m:t>t</m:t>
        </m:r>
      </m:oMath>
      <w:r>
        <w:t xml:space="preserve">, which is precisely why the legacy formula identified in the specification cannot be right at the sub-Gaussian endpoint.</w:t>
      </w:r>
      <w:r>
        <w:t xml:space="preserve"> </w:t>
      </w:r>
      <w:hyperlink r:id="rId15">
        <w:r>
          <w:rPr>
            <w:rStyle w:val="Hyperlink"/>
          </w:rPr>
          <w:t xml:space="preserve">[4]</w:t>
        </w:r>
      </w:hyperlink>
    </w:p>
    <w:p>
      <w:pPr>
        <w:pStyle w:val="BodyText"/>
      </w:pPr>
      <w:r>
        <w:t xml:space="preserve">For heavier</w:t>
      </w:r>
      <w:r>
        <w:t xml:space="preserve"> </w:t>
      </w:r>
      <m:oMath>
        <m:r>
          <m:t>α</m:t>
        </m:r>
      </m:oMath>
      <w:r>
        <w:t xml:space="preserve">-sub-exponential tails, Götze, Sambale, and Sinulis prove Hanson–Wright-type results with multi-level concentration and explicit dependence on several norms of the matrix.</w:t>
      </w:r>
      <w:r>
        <w:t xml:space="preserve"> </w:t>
      </w:r>
      <w:hyperlink r:id="rId16">
        <w:r>
          <w:rPr>
            <w:rStyle w:val="Hyperlink"/>
          </w:rPr>
          <w:t xml:space="preserve">[5]</w:t>
        </w:r>
      </w:hyperlink>
      <w:r>
        <w:t xml:space="preserve"> </w:t>
      </w:r>
      <w:r>
        <w:t xml:space="preserve">The replacement paper should either quote one of those results faithfully with its hypotheses and exact norm structure or omit the heavy-tail theorem entirely. There is no need to manufacture a compact interpolation formula.</w:t>
      </w:r>
    </w:p>
    <w:bookmarkEnd w:id="35"/>
    <w:bookmarkStart w:id="39" w:name="Xf4b8cb3f2550fa8a30c0f6cc51e72ae7aff7e98"/>
    <w:p>
      <w:pPr>
        <w:pStyle w:val="Heading2"/>
      </w:pPr>
      <w:r>
        <w:t xml:space="preserve">Evidence synthesis, unresolved hypotheses, and speculative extensions</w:t>
      </w:r>
    </w:p>
    <w:p>
      <w:pPr>
        <w:pStyle w:val="FirstParagraph"/>
      </w:pPr>
      <w:r>
        <w:t xml:space="preserve">The</w:t>
      </w:r>
      <w:r>
        <w:t xml:space="preserve"> </w:t>
      </w:r>
      <m:oMath>
        <m:r>
          <m:t>O</m:t>
        </m:r>
        <m:r>
          <m:rPr>
            <m:sty m:val="p"/>
          </m:rPr>
          <m:t>(</m:t>
        </m:r>
        <m:r>
          <m:rPr>
            <m:sty m:val="p"/>
          </m:rPr>
          <m:t>log</m:t>
        </m:r>
        <m:r>
          <m:rPr>
            <m:sty m:val="p"/>
          </m:rPr>
          <m:t>|</m:t>
        </m:r>
        <m:r>
          <m:t>L</m:t>
        </m:r>
        <m:r>
          <m:rPr>
            <m:sty m:val="p"/>
          </m:rPr>
          <m:t>|</m:t>
        </m:r>
        <m:r>
          <m:rPr>
            <m:sty m:val="p"/>
          </m:rPr>
          <m:t>)</m:t>
        </m:r>
      </m:oMath>
      <w:r>
        <w:t xml:space="preserve"> </w:t>
      </w:r>
      <w:r>
        <w:t xml:space="preserve">gradient statement is the clearest case where the literature points toward a related engineering idea without supporting the claimed theorem. Shazeer and collaborators’ sparsely gated mixture-of-experts work uses conditional computation so only a sparse subset of a much larger expert population is active for a given example, explicitly seeking increased model capacity without a proportional increase in computation.</w:t>
      </w:r>
      <w:r>
        <w:t xml:space="preserve"> </w:t>
      </w:r>
      <w:hyperlink r:id="rId14">
        <w:r>
          <w:rPr>
            <w:rStyle w:val="Hyperlink"/>
          </w:rPr>
          <w:t xml:space="preserve">[24]</w:t>
        </w:r>
      </w:hyperlink>
      <w:r>
        <w:t xml:space="preserve"> </w:t>
      </w:r>
      <w:r>
        <w:t xml:space="preserve">Switch Transformers goes further and describes sparsely activated expert models with bounded per-example computational cost as total model capacity grows, while also emphasizing routing complexity, communication, and training instability.</w:t>
      </w:r>
      <w:r>
        <w:t xml:space="preserve"> </w:t>
      </w:r>
      <w:hyperlink r:id="rId36">
        <w:r>
          <w:rPr>
            <w:rStyle w:val="Hyperlink"/>
          </w:rPr>
          <w:t xml:space="preserve">[25]</w:t>
        </w:r>
      </w:hyperlink>
    </w:p>
    <w:p>
      <w:pPr>
        <w:pStyle w:val="BodyText"/>
      </w:pPr>
      <w:r>
        <w:t xml:space="preserve">That analogy supports a weaker HTLA proposition:</w:t>
      </w:r>
    </w:p>
    <w:p>
      <w:pPr>
        <w:pStyle w:val="BlockText"/>
      </w:pPr>
      <w:r>
        <w:rPr>
          <w:rStyle w:val="VerbatimChar"/>
          <w:b/>
          <w:bCs/>
        </w:rPr>
        <w:t xml:space="preserve">INFERRED</w:t>
      </w:r>
      <w:r>
        <w:t xml:space="preserve"> </w:t>
      </w:r>
      <w:r>
        <w:t xml:space="preserve">— If the active source/target blocks touched by an example remain bounded independently of</w:t>
      </w:r>
      <w:r>
        <w:t xml:space="preserve"> </w:t>
      </w:r>
      <m:oMath>
        <m:r>
          <m:rPr>
            <m:sty m:val="p"/>
          </m:rPr>
          <m:t>|</m:t>
        </m:r>
        <m:r>
          <m:t>L</m:t>
        </m:r>
        <m:r>
          <m:rPr>
            <m:sty m:val="p"/>
          </m:rPr>
          <m:t>|</m:t>
        </m:r>
      </m:oMath>
      <w:r>
        <w:t xml:space="preserve">, and the routing or coupling lookup mechanism itself avoids scanning the full label set, then arithmetic devoted to the active block maps need not scale proportionally with the total number of labels.</w:t>
      </w:r>
    </w:p>
    <w:p>
      <w:pPr>
        <w:pStyle w:val="FirstParagraph"/>
      </w:pPr>
      <w:r>
        <w:t xml:space="preserve">This is a conditional implementation observation, not a theorem that gradient cost is</w:t>
      </w:r>
      <w:r>
        <w:t xml:space="preserve"> </w:t>
      </w:r>
      <m:oMath>
        <m:r>
          <m:t>O</m:t>
        </m:r>
        <m:r>
          <m:rPr>
            <m:sty m:val="p"/>
          </m:rPr>
          <m:t>(</m:t>
        </m:r>
        <m:r>
          <m:rPr>
            <m:sty m:val="p"/>
          </m:rPr>
          <m:t>log</m:t>
        </m:r>
        <m:r>
          <m:rPr>
            <m:sty m:val="p"/>
          </m:rPr>
          <m:t>|</m:t>
        </m:r>
        <m:r>
          <m:t>L</m:t>
        </m:r>
        <m:r>
          <m:rPr>
            <m:sty m:val="p"/>
          </m:rPr>
          <m:t>|</m:t>
        </m:r>
        <m:r>
          <m:rPr>
            <m:sty m:val="p"/>
          </m:rPr>
          <m:t>)</m:t>
        </m:r>
      </m:oMath>
      <w:r>
        <w:t xml:space="preserve">. Routing, indexing, communication, loss construction, normalization, or globally coupled parameters can all reintroduce dependence on the total label population. The reviewed MoE papers do not establish a universal logarithmic law.</w:t>
      </w:r>
      <w:r>
        <w:t xml:space="preserve"> </w:t>
      </w:r>
      <w:hyperlink r:id="rId14">
        <w:r>
          <w:rPr>
            <w:rStyle w:val="Hyperlink"/>
          </w:rPr>
          <w:t xml:space="preserve">[3]</w:t>
        </w:r>
      </w:hyperlink>
    </w:p>
    <w:p>
      <w:pPr>
        <w:pStyle w:val="BodyText"/>
      </w:pPr>
      <w:r>
        <w:t xml:space="preserve">If the project retains the logarithmic conjecture, it should be explicitly tagged</w:t>
      </w:r>
      <w:r>
        <w:t xml:space="preserve"> </w:t>
      </w:r>
      <w:r>
        <w:rPr>
          <w:rStyle w:val="VerbatimChar"/>
        </w:rPr>
        <w:t xml:space="preserve">RESEARCH HYPOTHESIS</w:t>
      </w:r>
      <w:r>
        <w:t xml:space="preserve"> </w:t>
      </w:r>
      <w:r>
        <w:t xml:space="preserve">and attached to a falsification protocol: hold component dimensions, active coupling degree, optimizer, hardware, batch structure, and numerical precision fixed; increase label cardinality geometrically; separately record forward block arithmetic, routing overhead, backward block arithmetic, communication, peak memory, and total wall time; then compare constant-like, logarithmic, and polynomial scaling models. A claim about total gradient complexity fails if the routing or backward path exhibits systematic super-logarithmic dependence under those controlled conditions. No benchmark values should be inserted until such an experiment is actually run.</w:t>
      </w:r>
    </w:p>
    <w:p>
      <w:pPr>
        <w:pStyle w:val="BodyText"/>
      </w:pPr>
      <w:r>
        <w:t xml:space="preserve">The quantum extension has a similar disposition. Gilyén, Su, Low, and Wiebe’s quantum singular-value transformation framework supplies polynomial transformations of singular values through generic block-encoded operators, while Low and Chuang’s qubitization supplies a generic standard-form mechanism for embedding and manipulating operators.</w:t>
      </w:r>
      <w:r>
        <w:t xml:space="preserve"> </w:t>
      </w:r>
      <w:hyperlink r:id="rId17">
        <w:r>
          <w:rPr>
            <w:rStyle w:val="Hyperlink"/>
          </w:rPr>
          <w:t xml:space="preserve">[6]</w:t>
        </w:r>
      </w:hyperlink>
      <w:r>
        <w:t xml:space="preserve"> </w:t>
      </w:r>
      <w:r>
        <w:t xml:space="preserve">In the sources retrieved for this review, no theorem makes semantic labels, Peirce blocks, or an HTLA decomposition by itself confer a quantum speedup. The admissible paragraph is therefore:</w:t>
      </w:r>
    </w:p>
    <w:p>
      <w:pPr>
        <w:pStyle w:val="BlockText"/>
      </w:pPr>
      <w:r>
        <w:rPr>
          <w:rStyle w:val="VerbatimChar"/>
          <w:b/>
          <w:bCs/>
        </w:rPr>
        <w:t xml:space="preserve">RESEARCH HYPOTHESIS</w:t>
      </w:r>
      <w:r>
        <w:t xml:space="preserve"> </w:t>
      </w:r>
      <w:r>
        <w:t xml:space="preserve">— A flattened or structured HTLA operator may in principle be supplied to generic quantum block-encoding or singular-value-transformation machinery when an efficient encoding oracle exists. Current evidence does not establish an HTLA-specific complexity advantage; any such advantage would require an explicit oracle model and end-to-end resource analysis.</w:t>
      </w:r>
      <w:r>
        <w:t xml:space="preserve"> </w:t>
      </w:r>
      <w:hyperlink r:id="rId17">
        <w:r>
          <w:rPr>
            <w:rStyle w:val="Hyperlink"/>
          </w:rPr>
          <w:t xml:space="preserve">[6]</w:t>
        </w:r>
      </w:hyperlink>
    </w:p>
    <w:p>
      <w:pPr>
        <w:pStyle w:val="FirstParagraph"/>
      </w:pPr>
      <w:r>
        <w:t xml:space="preserve">Persistent homology is even more remote from the core calculus. Zigzag persistence is designed for situations in which topological objects evolve through both forward and backward inclusions, making it relevant in principle to changing graphs or complexes.</w:t>
      </w:r>
      <w:r>
        <w:t xml:space="preserve"> </w:t>
      </w:r>
      <w:hyperlink r:id="rId18">
        <w:r>
          <w:rPr>
            <w:rStyle w:val="Hyperlink"/>
          </w:rPr>
          <w:t xml:space="preserve">[7]</w:t>
        </w:r>
      </w:hyperlink>
      <w:r>
        <w:t xml:space="preserve"> </w:t>
      </w:r>
      <w:r>
        <w:t xml:space="preserve">A dynamic Nexus coupling graph could therefore motivate a future zigzag-persistence study</w:t>
      </w:r>
      <w:r>
        <w:t xml:space="preserve"> </w:t>
      </w:r>
      <w:r>
        <w:rPr>
          <w:i/>
          <w:iCs/>
        </w:rPr>
        <w:t xml:space="preserve">if</w:t>
      </w:r>
      <w:r>
        <w:t xml:space="preserve"> </w:t>
      </w:r>
      <w:r>
        <w:t xml:space="preserve">vertices, edges, filtration values, temporal transitions, and the operational meaning of persistent classes are all specified. Nothing in the supplied HTLA specification establishes such a filtration, and coordinate sparsity in a quinary vector is not by itself a persistent-homology construction. fileciteturn0file0 Status:</w:t>
      </w:r>
      <w:r>
        <w:t xml:space="preserve"> </w:t>
      </w:r>
      <w:r>
        <w:rPr>
          <w:rStyle w:val="VerbatimChar"/>
        </w:rPr>
        <w:t xml:space="preserve">RESEARCH HYPOTHESIS</w:t>
      </w:r>
      <w:r>
        <w:t xml:space="preserve">.</w:t>
      </w:r>
    </w:p>
    <w:p>
      <w:pPr>
        <w:pStyle w:val="BodyText"/>
      </w:pPr>
      <w:r>
        <w:t xml:space="preserve">The remaining legacy appendices should be treated the same way: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Extension</w:t>
            </w:r>
          </w:p>
        </w:tc>
        <w:tc>
          <w:tcPr/>
          <w:p>
            <w:pPr>
              <w:pStyle w:val="Compact"/>
            </w:pPr>
            <w:r>
              <w:t xml:space="preserve">External mathematical basis</w:t>
            </w:r>
          </w:p>
        </w:tc>
        <w:tc>
          <w:tcPr/>
          <w:p>
            <w:pPr>
              <w:pStyle w:val="Compact"/>
            </w:pPr>
            <w:r>
              <w:t xml:space="preserve">What is missing for HTLA</w:t>
            </w:r>
          </w:p>
        </w:tc>
        <w:tc>
          <w:tcPr/>
          <w:p>
            <w:pPr>
              <w:pStyle w:val="Compact"/>
            </w:pPr>
            <w:r>
              <w:t xml:space="preserve">Status</w:t>
            </w:r>
          </w:p>
        </w:tc>
      </w:tr>
      <w:tr>
        <w:tc>
          <w:tcPr/>
          <w:p>
            <w:pPr>
              <w:pStyle w:val="Compact"/>
            </w:pPr>
            <w:r>
              <w:t xml:space="preserve">Fisher–Rao curvature</w:t>
            </w:r>
          </w:p>
        </w:tc>
        <w:tc>
          <w:tcPr/>
          <w:p>
            <w:pPr>
              <w:pStyle w:val="Compact"/>
            </w:pPr>
            <w:r>
              <w:t xml:space="preserve">Information-geometric curvature is meaningful once a statistical model and Fisher metric have been specified.</w:t>
            </w:r>
          </w:p>
        </w:tc>
        <w:tc>
          <w:tcPr/>
          <w:p>
            <w:pPr>
              <w:pStyle w:val="Compact"/>
            </w:pPr>
            <w:r>
              <w:t xml:space="preserve">The supplied HTLA material does not define a probability family whose Fisher geometry is load-bearing. fileciteturn0file0</w:t>
            </w:r>
          </w:p>
        </w:tc>
        <w:tc>
          <w:tcPr/>
          <w:p>
            <w:pPr>
              <w:pStyle w:val="Compact"/>
            </w:pPr>
            <w:r>
              <w:rPr>
                <w:rStyle w:val="VerbatimChar"/>
              </w:rPr>
              <w:t xml:space="preserve">RESEARCH HYPOTHESIS</w:t>
            </w:r>
          </w:p>
        </w:tc>
      </w:tr>
      <w:tr>
        <w:tc>
          <w:tcPr/>
          <w:p>
            <w:pPr>
              <w:pStyle w:val="Compact"/>
            </w:pPr>
            <w:r>
              <w:t xml:space="preserve">Heavy-tail robust solvers</w:t>
            </w:r>
          </w:p>
        </w:tc>
        <w:tc>
          <w:tcPr/>
          <w:p>
            <w:pPr>
              <w:pStyle w:val="Compact"/>
            </w:pPr>
            <w:r>
              <w:t xml:space="preserve">Rigorous</w:t>
            </w:r>
            <w:r>
              <w:t xml:space="preserve"> </w:t>
            </w:r>
            <m:oMath>
              <m:r>
                <m:t>α</m:t>
              </m:r>
            </m:oMath>
            <w:r>
              <w:t xml:space="preserve">-sub-exponential concentration theory exists, including quadratic-form results.</w:t>
            </w:r>
            <w:r>
              <w:t xml:space="preserve"> </w:t>
            </w:r>
            <w:hyperlink r:id="rId16">
              <w:r>
                <w:rPr>
                  <w:rStyle w:val="Hyperlink"/>
                </w:rPr>
                <w:t xml:space="preserve">[26]</w:t>
              </w:r>
            </w:hyperlink>
          </w:p>
        </w:tc>
        <w:tc>
          <w:tcPr/>
          <w:p>
            <w:pPr>
              <w:pStyle w:val="Compact"/>
            </w:pPr>
            <w:r>
              <w:t xml:space="preserve">A Nexus noise model, estimator, loss, and theorem matching that model.</w:t>
            </w:r>
          </w:p>
        </w:tc>
        <w:tc>
          <w:tcPr/>
          <w:p>
            <w:pPr>
              <w:pStyle w:val="Compact"/>
            </w:pPr>
            <w:r>
              <w:rPr>
                <w:rStyle w:val="VerbatimChar"/>
              </w:rPr>
              <w:t xml:space="preserve">PROPOSED</w:t>
            </w:r>
            <w:r>
              <w:t xml:space="preserve"> </w:t>
            </w:r>
            <w:r>
              <w:t xml:space="preserve">if an exact external theorem is instantiated; otherwise</w:t>
            </w:r>
            <w:r>
              <w:t xml:space="preserve"> </w:t>
            </w:r>
            <w:r>
              <w:rPr>
                <w:rStyle w:val="VerbatimChar"/>
              </w:rPr>
              <w:t xml:space="preserve">RESEARCH HYPOTHESIS</w:t>
            </w:r>
          </w:p>
        </w:tc>
      </w:tr>
      <w:tr>
        <w:tc>
          <w:tcPr/>
          <w:p>
            <w:pPr>
              <w:pStyle w:val="Compact"/>
            </w:pPr>
            <w:r>
              <w:t xml:space="preserve">Quantum operator methods</w:t>
            </w:r>
          </w:p>
        </w:tc>
        <w:tc>
          <w:tcPr/>
          <w:p>
            <w:pPr>
              <w:pStyle w:val="Compact"/>
            </w:pPr>
            <w:r>
              <w:t xml:space="preserve">QSVT and qubitization are established generic operator techniques.</w:t>
            </w:r>
            <w:r>
              <w:t xml:space="preserve"> </w:t>
            </w:r>
            <w:hyperlink r:id="rId17">
              <w:r>
                <w:rPr>
                  <w:rStyle w:val="Hyperlink"/>
                </w:rPr>
                <w:t xml:space="preserve">[6]</w:t>
              </w:r>
            </w:hyperlink>
          </w:p>
        </w:tc>
        <w:tc>
          <w:tcPr/>
          <w:p>
            <w:pPr>
              <w:pStyle w:val="Compact"/>
            </w:pPr>
            <w:r>
              <w:t xml:space="preserve">Efficient Nexus oracle/block encoding and an advantage attributable to the HTLA structure.</w:t>
            </w:r>
          </w:p>
        </w:tc>
        <w:tc>
          <w:tcPr/>
          <w:p>
            <w:pPr>
              <w:pStyle w:val="Compact"/>
            </w:pPr>
            <w:r>
              <w:rPr>
                <w:rStyle w:val="VerbatimChar"/>
              </w:rPr>
              <w:t xml:space="preserve">RESEARCH HYPOTHESIS</w:t>
            </w:r>
          </w:p>
        </w:tc>
      </w:tr>
      <w:tr>
        <w:tc>
          <w:tcPr/>
          <w:p>
            <w:pPr>
              <w:pStyle w:val="Compact"/>
            </w:pPr>
            <w:r>
              <w:t xml:space="preserve">Gauge-equivariant nonlinearities</w:t>
            </w:r>
          </w:p>
        </w:tc>
        <w:tc>
          <w:tcPr/>
          <w:p>
            <w:pPr>
              <w:pStyle w:val="Compact"/>
            </w:pPr>
            <w:r>
              <w:t xml:space="preserve">Gauge-equivariant neural networks have rigorous formulations on manifolds/fiber-like geometric settings.</w:t>
            </w:r>
            <w:r>
              <w:t xml:space="preserve"> </w:t>
            </w:r>
            <w:hyperlink r:id="rId37">
              <w:r>
                <w:rPr>
                  <w:rStyle w:val="Hyperlink"/>
                </w:rPr>
                <w:t xml:space="preserve">[27]</w:t>
              </w:r>
            </w:hyperlink>
          </w:p>
        </w:tc>
        <w:tc>
          <w:tcPr/>
          <w:p>
            <w:pPr>
              <w:pStyle w:val="Compact"/>
            </w:pPr>
            <w:r>
              <w:t xml:space="preserve">HTLA labels alone do not define a gauge group, group action, bundle, or equivariance condition.</w:t>
            </w:r>
          </w:p>
        </w:tc>
        <w:tc>
          <w:tcPr/>
          <w:p>
            <w:pPr>
              <w:pStyle w:val="Compact"/>
            </w:pPr>
            <w:r>
              <w:rPr>
                <w:rStyle w:val="VerbatimChar"/>
              </w:rPr>
              <w:t xml:space="preserve">RESEARCH HYPOTHESIS</w:t>
            </w:r>
          </w:p>
        </w:tc>
      </w:tr>
      <w:tr>
        <w:tc>
          <w:tcPr/>
          <w:p>
            <w:pPr>
              <w:pStyle w:val="Compact"/>
            </w:pPr>
            <w:r>
              <w:t xml:space="preserve">Neural-ODE extension</w:t>
            </w:r>
          </w:p>
        </w:tc>
        <w:tc>
          <w:tcPr/>
          <w:p>
            <w:pPr>
              <w:pStyle w:val="Compact"/>
            </w:pPr>
            <w:r>
              <w:t xml:space="preserve">Neural ODEs parameterize continuous hidden-state dynamics and support end-to-end differentiation through differential-equation models.</w:t>
            </w:r>
            <w:r>
              <w:t xml:space="preserve"> </w:t>
            </w:r>
            <w:hyperlink r:id="rId38">
              <w:r>
                <w:rPr>
                  <w:rStyle w:val="Hyperlink"/>
                </w:rPr>
                <w:t xml:space="preserve">[28]</w:t>
              </w:r>
            </w:hyperlink>
          </w:p>
        </w:tc>
        <w:tc>
          <w:tcPr/>
          <w:p>
            <w:pPr>
              <w:pStyle w:val="Compact"/>
            </w:pPr>
            <w:r>
              <w:t xml:space="preserve">A Nexus vector field, state domain, existence assumptions, integration semantics, and reason continuous time is required.</w:t>
            </w:r>
          </w:p>
        </w:tc>
        <w:tc>
          <w:tcPr/>
          <w:p>
            <w:pPr>
              <w:pStyle w:val="Compact"/>
            </w:pPr>
            <w:r>
              <w:rPr>
                <w:rStyle w:val="VerbatimChar"/>
              </w:rPr>
              <w:t xml:space="preserve">RESEARCH HYPOTHESIS</w:t>
            </w:r>
          </w:p>
        </w:tc>
      </w:tr>
      <w:tr>
        <w:tc>
          <w:tcPr/>
          <w:p>
            <w:pPr>
              <w:pStyle w:val="Compact"/>
            </w:pPr>
            <w:r>
              <w:t xml:space="preserve">Persistent topology</w:t>
            </w:r>
          </w:p>
        </w:tc>
        <w:tc>
          <w:tcPr/>
          <w:p>
            <w:pPr>
              <w:pStyle w:val="Compact"/>
            </w:pPr>
            <w:r>
              <w:t xml:space="preserve">Zigzag persistence supports changing topological objects.</w:t>
            </w:r>
            <w:r>
              <w:t xml:space="preserve"> </w:t>
            </w:r>
            <w:hyperlink r:id="rId18">
              <w:r>
                <w:rPr>
                  <w:rStyle w:val="Hyperlink"/>
                </w:rPr>
                <w:t xml:space="preserve">[7]</w:t>
              </w:r>
            </w:hyperlink>
          </w:p>
        </w:tc>
        <w:tc>
          <w:tcPr/>
          <w:p>
            <w:pPr>
              <w:pStyle w:val="Compact"/>
            </w:pPr>
            <w:r>
              <w:t xml:space="preserve">An explicit Nexus filtration or evolving complex and a falsifiable downstream predicate.</w:t>
            </w:r>
          </w:p>
        </w:tc>
        <w:tc>
          <w:tcPr/>
          <w:p>
            <w:pPr>
              <w:pStyle w:val="Compact"/>
            </w:pPr>
            <w:r>
              <w:rPr>
                <w:rStyle w:val="VerbatimChar"/>
              </w:rPr>
              <w:t xml:space="preserve">RESEARCH HYPOTHESIS</w:t>
            </w:r>
          </w:p>
        </w:tc>
      </w:tr>
      <w:tr>
        <w:tc>
          <w:tcPr/>
          <w:p>
            <w:pPr>
              <w:pStyle w:val="Compact"/>
            </w:pPr>
            <w:r>
              <w:t xml:space="preserve">Spacetime analogy</w:t>
            </w:r>
          </w:p>
        </w:tc>
        <w:tc>
          <w:tcPr/>
          <w:p>
            <w:pPr>
              <w:pStyle w:val="Compact"/>
            </w:pPr>
            <w:r>
              <w:t xml:space="preserve">No external result reviewed here derives relativistic field equations from the HTLA direct-sum/block calculus.</w:t>
            </w:r>
          </w:p>
        </w:tc>
        <w:tc>
          <w:tcPr/>
          <w:p>
            <w:pPr>
              <w:pStyle w:val="Compact"/>
            </w:pPr>
            <w:r>
              <w:t xml:space="preserve">A physical state model, dynamical action, observables, units, correspondence map, and empirical consequences are absent from the supplied HTLA scope. fileciteturn0file0</w:t>
            </w:r>
          </w:p>
        </w:tc>
        <w:tc>
          <w:tcPr/>
          <w:p>
            <w:pPr>
              <w:pStyle w:val="Compact"/>
            </w:pPr>
            <w:r>
              <w:rPr>
                <w:rStyle w:val="VerbatimChar"/>
              </w:rPr>
              <w:t xml:space="preserve">RESEARCH HYPOTHESIS</w:t>
            </w:r>
            <w:r>
              <w:t xml:space="preserve">; heuristic analogy only</w:t>
            </w:r>
          </w:p>
        </w:tc>
      </w:tr>
    </w:tbl>
    <w:p>
      <w:pPr>
        <w:pStyle w:val="BodyText"/>
      </w:pPr>
      <w:r>
        <w:t xml:space="preserve">The spacetime note should retain the strongest caution in the supplied specification: it is a heuristic analogy, not a proven physical equivalence. fileciteturn0file0 Nothing about Peirce decomposition, changing component dimensions, or block coupling mathematically implies Einstein’s field equations. Leaving such a claim adjacent to working linear algebra would weaken rather than strengthen the paper.</w:t>
      </w:r>
    </w:p>
    <w:p>
      <w:pPr>
        <w:pStyle w:val="BodyText"/>
      </w:pPr>
      <w:r>
        <w:t xml:space="preserve">The benchmark table described in the rewrite request should simply be removed. The supplied specification says its decimal timings were not produced by measured runs. fileciteturn0file0 A table of unmeasured decimal results acquires an evidentiary appearance merely by being typeset. Future performance values belong in the document only when either a reproducible execution artifact supports them or a higher-tier requirement explicitly establishes them as</w:t>
      </w:r>
      <w:r>
        <w:t xml:space="preserve"> </w:t>
      </w:r>
      <w:r>
        <w:rPr>
          <w:rStyle w:val="VerbatimChar"/>
        </w:rPr>
        <w:t xml:space="preserve">DESIGN TARGET</w:t>
      </w:r>
      <w:r>
        <w:t xml:space="preserve">. The project-wide “energy conservation” motif likewise remains a design motif rather than an empirical law unless a specific experiment establishes otherwise. fileciteturn0file0</w:t>
      </w:r>
    </w:p>
    <w:bookmarkEnd w:id="39"/>
    <w:bookmarkStart w:id="40" w:name="X4d2a955f3636070fe4684d9720f0b368d15f626"/>
    <w:p>
      <w:pPr>
        <w:pStyle w:val="Heading2"/>
      </w:pPr>
      <w:r>
        <w:t xml:space="preserve">Executed reference implementation and numerical verification</w:t>
      </w:r>
    </w:p>
    <w:p>
      <w:pPr>
        <w:pStyle w:val="FirstParagraph"/>
      </w:pPr>
      <w:r>
        <w:t xml:space="preserve">The numerical worked example and corrected pseudoinverse implementation were executed for this report. The complete reproducible artifact is available here:</w:t>
      </w:r>
    </w:p>
    <w:p>
      <w:pPr>
        <w:pStyle w:val="BodyText"/>
      </w:pPr>
      <w:hyperlink r:id="rId12">
        <w:r>
          <w:rPr>
            <w:rStyle w:val="Hyperlink"/>
          </w:rPr>
          <w:t xml:space="preserve">Download the executed HTLA verification script</w:t>
        </w:r>
      </w:hyperlink>
    </w:p>
    <w:p>
      <w:pPr>
        <w:pStyle w:val="BodyText"/>
      </w:pPr>
      <w:hyperlink r:id="rId13">
        <w:r>
          <w:rPr>
            <w:rStyle w:val="Hyperlink"/>
          </w:rPr>
          <w:t xml:space="preserve">Download the captured stdout from that execution</w:t>
        </w:r>
      </w:hyperlink>
    </w:p>
    <w:p>
      <w:pPr>
        <w:pStyle w:val="BodyText"/>
      </w:pPr>
      <w:r>
        <w:t xml:space="preserve">For the Tikhonov example specified in the rewrite brief, the executed calculation used both the singular-value expression and the algebraically equivalent regularized normal equations:</w:t>
      </w:r>
    </w:p>
    <w:p>
      <w:pPr>
        <w:pStyle w:val="SourceCode"/>
      </w:pPr>
      <w:r>
        <w:rPr>
          <w:rStyle w:val="VerbatimChar"/>
        </w:rPr>
        <w:t xml:space="preserve">U, s, Vt = np.linalg.svd(M, full_matrices=False)</w:t>
      </w:r>
      <w:r>
        <w:br/>
      </w:r>
      <w:r>
        <w:br/>
      </w:r>
      <w:r>
        <w:rPr>
          <w:rStyle w:val="VerbatimChar"/>
        </w:rPr>
        <w:t xml:space="preserve">regularized_inverse = (</w:t>
      </w:r>
      <w:r>
        <w:br/>
      </w:r>
      <w:r>
        <w:rPr>
          <w:rStyle w:val="VerbatimChar"/>
        </w:rPr>
        <w:t xml:space="preserve">    Vt.T * (s / (s * s + lam))</w:t>
      </w:r>
      <w:r>
        <w:br/>
      </w:r>
      <w:r>
        <w:rPr>
          <w:rStyle w:val="VerbatimChar"/>
        </w:rPr>
        <w:t xml:space="preserve">) @ U.T</w:t>
      </w:r>
      <w:r>
        <w:br/>
      </w:r>
      <w:r>
        <w:rPr>
          <w:rStyle w:val="VerbatimChar"/>
        </w:rPr>
        <w:t xml:space="preserve">h_svd = regularized_inverse @ b</w:t>
      </w:r>
      <w:r>
        <w:br/>
      </w:r>
      <w:r>
        <w:br/>
      </w:r>
      <w:r>
        <w:rPr>
          <w:rStyle w:val="VerbatimChar"/>
        </w:rPr>
        <w:t xml:space="preserve">h_normal = np.linalg.solve(</w:t>
      </w:r>
      <w:r>
        <w:br/>
      </w:r>
      <w:r>
        <w:rPr>
          <w:rStyle w:val="VerbatimChar"/>
        </w:rPr>
        <w:t xml:space="preserve">    M.T @ M + lam * np.eye(M.shape[1]),</w:t>
      </w:r>
      <w:r>
        <w:br/>
      </w:r>
      <w:r>
        <w:rPr>
          <w:rStyle w:val="VerbatimChar"/>
        </w:rPr>
        <w:t xml:space="preserve">    M.T @ b,</w:t>
      </w:r>
      <w:r>
        <w:br/>
      </w:r>
      <w:r>
        <w:rPr>
          <w:rStyle w:val="VerbatimChar"/>
        </w:rPr>
        <w:t xml:space="preserve">)</w:t>
      </w:r>
      <w:r>
        <w:br/>
      </w:r>
      <w:r>
        <w:br/>
      </w:r>
      <w:r>
        <w:rPr>
          <w:rStyle w:val="VerbatimChar"/>
        </w:rPr>
        <w:t xml:space="preserve">residual_svd = np.linalg.norm(M @ h_svd - b)</w:t>
      </w:r>
      <w:r>
        <w:br/>
      </w:r>
      <w:r>
        <w:rPr>
          <w:rStyle w:val="VerbatimChar"/>
        </w:rPr>
        <w:t xml:space="preserve">residual_normal = np.linalg.norm(M @ h_normal - b)</w:t>
      </w:r>
    </w:p>
    <w:p>
      <w:pPr>
        <w:pStyle w:val="FirstParagraph"/>
      </w:pPr>
      <w:r>
        <w:t xml:space="preserve">The matrices, vector, and regularization parameter used in the saved script are exactly the values specified by the uploaded rewrite brief. fileciteturn0file0 The actual captured output was:</w:t>
      </w:r>
    </w:p>
    <w:p>
      <w:pPr>
        <w:pStyle w:val="SourceCode"/>
      </w:pPr>
      <w:r>
        <w:rPr>
          <w:rStyle w:val="VerbatimChar"/>
        </w:rPr>
        <w:t xml:space="preserve">TIKHONOV CHECK</w:t>
      </w:r>
      <w:r>
        <w:br/>
      </w:r>
      <w:r>
        <w:rPr>
          <w:rStyle w:val="VerbatimChar"/>
        </w:rPr>
        <w:t xml:space="preserve">singular_values = [2.5320888862 1.3472963553 0.8793852416]</w:t>
      </w:r>
      <w:r>
        <w:br/>
      </w:r>
      <w:r>
        <w:rPr>
          <w:rStyle w:val="VerbatimChar"/>
        </w:rPr>
        <w:t xml:space="preserve">H_svd = [0.694151134  1.2716922229 1.6352951979]</w:t>
      </w:r>
      <w:r>
        <w:br/>
      </w:r>
      <w:r>
        <w:rPr>
          <w:rStyle w:val="VerbatimChar"/>
        </w:rPr>
        <w:t xml:space="preserve">residual_svd = 0.10517212503221</w:t>
      </w:r>
      <w:r>
        <w:br/>
      </w:r>
      <w:r>
        <w:rPr>
          <w:rStyle w:val="VerbatimChar"/>
        </w:rPr>
        <w:t xml:space="preserve">H_normal_eq = [0.694151134  1.2716922229 1.6352951979]</w:t>
      </w:r>
      <w:r>
        <w:br/>
      </w:r>
      <w:r>
        <w:rPr>
          <w:rStyle w:val="VerbatimChar"/>
        </w:rPr>
        <w:t xml:space="preserve">residual_normal_eq = 0.10517212503221</w:t>
      </w:r>
      <w:r>
        <w:br/>
      </w:r>
      <w:r>
        <w:rPr>
          <w:rStyle w:val="VerbatimChar"/>
        </w:rPr>
        <w:t xml:space="preserve">max_abs_difference = 8.8817841970012523e-16</w:t>
      </w:r>
    </w:p>
    <w:p>
      <w:pPr>
        <w:pStyle w:val="FirstParagraph"/>
      </w:pPr>
      <w:r>
        <w:t xml:space="preserve">This verifies the correction requested by the specification: the legacy values are arithmetically inconsistent with its own regularized-SVD formula. fileciteturn0file0 The replacement paper should paste output from a similarly saved and version-controlled test, preferably produced by its continuous-integration environment.</w:t>
      </w:r>
    </w:p>
    <w:p>
      <w:pPr>
        <w:pStyle w:val="BodyText"/>
      </w:pPr>
      <w:r>
        <w:t xml:space="preserve">The</w:t>
      </w:r>
      <w:r>
        <w:t xml:space="preserve"> </w:t>
      </w:r>
      <w:r>
        <w:rPr>
          <w:rStyle w:val="VerbatimChar"/>
        </w:rPr>
        <w:t xml:space="preserve">BlockOperator</w:t>
      </w:r>
      <w:r>
        <w:t xml:space="preserve"> </w:t>
      </w:r>
      <w:r>
        <w:t xml:space="preserve">repair should make the variance of the map explicit in the type direction. If the original operator has block signatures</w:t>
      </w:r>
    </w:p>
    <w:p>
      <w:pPr>
        <w:pStyle w:val="BodyText"/>
      </w:pPr>
      <m:oMathPara>
        <m:oMathParaPr>
          <m:jc m:val="center"/>
        </m:oMathParaPr>
        <m:oMath>
          <m:sSub>
            <m:e>
              <m:r>
                <m:t>A</m:t>
              </m:r>
            </m:e>
            <m:sub>
              <m:r>
                <m:t>t</m:t>
              </m:r>
              <m:r>
                <m:rPr>
                  <m:sty m:val="p"/>
                </m:rPr>
                <m:t>,</m:t>
              </m:r>
              <m:r>
                <m:t>s</m:t>
              </m:r>
            </m:sub>
          </m:sSub>
          <m:r>
            <m:rPr>
              <m:sty m:val="p"/>
            </m:rPr>
            <m:t>:</m:t>
          </m:r>
          <m:sSub>
            <m:e>
              <m:r>
                <m:t>H</m:t>
              </m:r>
            </m:e>
            <m:sub>
              <m:r>
                <m:t>s</m:t>
              </m:r>
            </m:sub>
          </m:sSub>
          <m:r>
            <m:rPr>
              <m:sty m:val="p"/>
            </m:rPr>
            <m:t>→</m:t>
          </m:r>
          <m:sSub>
            <m:e>
              <m:r>
                <m:t>K</m:t>
              </m:r>
            </m:e>
            <m:sub>
              <m:r>
                <m:t>t</m:t>
              </m:r>
            </m:sub>
          </m:sSub>
          <m:r>
            <m:rPr>
              <m:sty m:val="p"/>
            </m:rPr>
            <m:t>,</m:t>
          </m:r>
        </m:oMath>
      </m:oMathPara>
    </w:p>
    <w:p>
      <w:pPr>
        <w:pStyle w:val="FirstParagraph"/>
      </w:pPr>
      <w:r>
        <w:t xml:space="preserve">then</w:t>
      </w:r>
    </w:p>
    <w:p>
      <w:pPr>
        <w:pStyle w:val="BodyText"/>
      </w:pPr>
      <m:oMathPara>
        <m:oMathParaPr>
          <m:jc m:val="center"/>
        </m:oMathParaPr>
        <m:oMath>
          <m:sSubSup>
            <m:e>
              <m:r>
                <m:t>A</m:t>
              </m:r>
            </m:e>
            <m:sub>
              <m:r>
                <m:t>s</m:t>
              </m:r>
              <m:r>
                <m:rPr>
                  <m:sty m:val="p"/>
                </m:rPr>
                <m:t>,</m:t>
              </m:r>
              <m:r>
                <m:t>t</m:t>
              </m:r>
            </m:sub>
            <m:sup>
              <m:r>
                <m:rPr>
                  <m:sty m:val="p"/>
                </m:rPr>
                <m:t>+</m:t>
              </m:r>
            </m:sup>
          </m:sSubSup>
          <m:r>
            <m:rPr>
              <m:sty m:val="p"/>
            </m:rPr>
            <m:t>:</m:t>
          </m:r>
          <m:sSub>
            <m:e>
              <m:r>
                <m:t>K</m:t>
              </m:r>
            </m:e>
            <m:sub>
              <m:r>
                <m:t>t</m:t>
              </m:r>
            </m:sub>
          </m:sSub>
          <m:r>
            <m:rPr>
              <m:sty m:val="p"/>
            </m:rPr>
            <m:t>→</m:t>
          </m:r>
          <m:sSub>
            <m:e>
              <m:r>
                <m:t>H</m:t>
              </m:r>
            </m:e>
            <m:sub>
              <m:r>
                <m:t>s</m:t>
              </m:r>
            </m:sub>
          </m:sSub>
          <m:r>
            <m:rPr>
              <m:sty m:val="p"/>
            </m:rPr>
            <m:t>.</m:t>
          </m:r>
        </m:oMath>
      </m:oMathPara>
    </w:p>
    <w:p>
      <w:pPr>
        <w:pStyle w:val="FirstParagraph"/>
      </w:pPr>
      <w:r>
        <w:t xml:space="preserve">Therefore, the source metadata of the pseudoinverse must come from the</w:t>
      </w:r>
      <w:r>
        <w:t xml:space="preserve"> </w:t>
      </w:r>
      <w:r>
        <w:rPr>
          <w:b/>
          <w:bCs/>
        </w:rPr>
        <w:t xml:space="preserve">old target</w:t>
      </w:r>
      <w:r>
        <w:t xml:space="preserve">, while its target metadata must come from the</w:t>
      </w:r>
      <w:r>
        <w:t xml:space="preserve"> </w:t>
      </w:r>
      <w:r>
        <w:rPr>
          <w:b/>
          <w:bCs/>
        </w:rPr>
        <w:t xml:space="preserve">old source</w:t>
      </w:r>
      <w:r>
        <w:t xml:space="preserve">.</w:t>
      </w:r>
    </w:p>
    <w:p>
      <w:pPr>
        <w:pStyle w:val="BodyText"/>
      </w:pPr>
      <w:r>
        <w:t xml:space="preserve">The executed implementation uses that rule:</w:t>
      </w:r>
    </w:p>
    <w:p>
      <w:pPr>
        <w:pStyle w:val="SourceCode"/>
      </w:pPr>
      <w:r>
        <w:rPr>
          <w:rStyle w:val="VerbatimChar"/>
        </w:rPr>
        <w:t xml:space="preserve">def pseudoinverse(self, rcond: float | None = None) -&gt; "BlockOperator":</w:t>
      </w:r>
      <w:r>
        <w:br/>
      </w:r>
      <w:r>
        <w:rPr>
          <w:rStyle w:val="VerbatimChar"/>
        </w:rPr>
        <w:t xml:space="preserve">    A_plus = np.linalg.pinv(self.dense(), rcond=rcond)</w:t>
      </w:r>
      <w:r>
        <w:br/>
      </w:r>
      <w:r>
        <w:br/>
      </w:r>
      <w:r>
        <w:rPr>
          <w:rStyle w:val="VerbatimChar"/>
        </w:rPr>
        <w:t xml:space="preserve">    # Reverse the direction of the map.</w:t>
      </w:r>
      <w:r>
        <w:br/>
      </w:r>
      <w:r>
        <w:rPr>
          <w:rStyle w:val="VerbatimChar"/>
        </w:rPr>
        <w:t xml:space="preserve">    inverse_source_labels = tuple(self.target_labels)</w:t>
      </w:r>
      <w:r>
        <w:br/>
      </w:r>
      <w:r>
        <w:rPr>
          <w:rStyle w:val="VerbatimChar"/>
        </w:rPr>
        <w:t xml:space="preserve">    inverse_target_labels = tuple(self.source_labels)</w:t>
      </w:r>
      <w:r>
        <w:br/>
      </w:r>
      <w:r>
        <w:rPr>
          <w:rStyle w:val="VerbatimChar"/>
        </w:rPr>
        <w:t xml:space="preserve">    inverse_source_dims = dict(self.target_dims)</w:t>
      </w:r>
      <w:r>
        <w:br/>
      </w:r>
      <w:r>
        <w:rPr>
          <w:rStyle w:val="VerbatimChar"/>
        </w:rPr>
        <w:t xml:space="preserve">    inverse_target_dims = dict(self.source_dims)</w:t>
      </w:r>
      <w:r>
        <w:br/>
      </w:r>
      <w:r>
        <w:br/>
      </w:r>
      <w:r>
        <w:rPr>
          <w:rStyle w:val="VerbatimChar"/>
        </w:rPr>
        <w:t xml:space="preserve">    row_slices = self._slices(</w:t>
      </w:r>
      <w:r>
        <w:br/>
      </w:r>
      <w:r>
        <w:rPr>
          <w:rStyle w:val="VerbatimChar"/>
        </w:rPr>
        <w:t xml:space="preserve">        inverse_target_labels,</w:t>
      </w:r>
      <w:r>
        <w:br/>
      </w:r>
      <w:r>
        <w:rPr>
          <w:rStyle w:val="VerbatimChar"/>
        </w:rPr>
        <w:t xml:space="preserve">        inverse_target_dims,</w:t>
      </w:r>
      <w:r>
        <w:br/>
      </w:r>
      <w:r>
        <w:rPr>
          <w:rStyle w:val="VerbatimChar"/>
        </w:rPr>
        <w:t xml:space="preserve">    )</w:t>
      </w:r>
      <w:r>
        <w:br/>
      </w:r>
      <w:r>
        <w:rPr>
          <w:rStyle w:val="VerbatimChar"/>
        </w:rPr>
        <w:t xml:space="preserve">    col_slices = self._slices(</w:t>
      </w:r>
      <w:r>
        <w:br/>
      </w:r>
      <w:r>
        <w:rPr>
          <w:rStyle w:val="VerbatimChar"/>
        </w:rPr>
        <w:t xml:space="preserve">        inverse_source_labels,</w:t>
      </w:r>
      <w:r>
        <w:br/>
      </w:r>
      <w:r>
        <w:rPr>
          <w:rStyle w:val="VerbatimChar"/>
        </w:rPr>
        <w:t xml:space="preserve">        inverse_source_dims,</w:t>
      </w:r>
      <w:r>
        <w:br/>
      </w:r>
      <w:r>
        <w:rPr>
          <w:rStyle w:val="VerbatimChar"/>
        </w:rPr>
        <w:t xml:space="preserve">    )</w:t>
      </w:r>
      <w:r>
        <w:br/>
      </w:r>
      <w:r>
        <w:br/>
      </w:r>
      <w:r>
        <w:rPr>
          <w:rStyle w:val="VerbatimChar"/>
        </w:rPr>
        <w:t xml:space="preserve">    inverse_blocks = {}</w:t>
      </w:r>
      <w:r>
        <w:br/>
      </w:r>
      <w:r>
        <w:rPr>
          <w:rStyle w:val="VerbatimChar"/>
        </w:rPr>
        <w:t xml:space="preserve">    for target in inverse_target_labels:</w:t>
      </w:r>
      <w:r>
        <w:br/>
      </w:r>
      <w:r>
        <w:rPr>
          <w:rStyle w:val="VerbatimChar"/>
        </w:rPr>
        <w:t xml:space="preserve">        for source in inverse_source_labels:</w:t>
      </w:r>
      <w:r>
        <w:br/>
      </w:r>
      <w:r>
        <w:rPr>
          <w:rStyle w:val="VerbatimChar"/>
        </w:rPr>
        <w:t xml:space="preserve">            inverse_blocks[(target, source)] = A_plus[</w:t>
      </w:r>
      <w:r>
        <w:br/>
      </w:r>
      <w:r>
        <w:rPr>
          <w:rStyle w:val="VerbatimChar"/>
        </w:rPr>
        <w:t xml:space="preserve">                row_slices[target],</w:t>
      </w:r>
      <w:r>
        <w:br/>
      </w:r>
      <w:r>
        <w:rPr>
          <w:rStyle w:val="VerbatimChar"/>
        </w:rPr>
        <w:t xml:space="preserve">                col_slices[source],</w:t>
      </w:r>
      <w:r>
        <w:br/>
      </w:r>
      <w:r>
        <w:rPr>
          <w:rStyle w:val="VerbatimChar"/>
        </w:rPr>
        <w:t xml:space="preserve">            ].copy()</w:t>
      </w:r>
      <w:r>
        <w:br/>
      </w:r>
      <w:r>
        <w:br/>
      </w:r>
      <w:r>
        <w:rPr>
          <w:rStyle w:val="VerbatimChar"/>
        </w:rPr>
        <w:t xml:space="preserve">    return BlockOperator(</w:t>
      </w:r>
      <w:r>
        <w:br/>
      </w:r>
      <w:r>
        <w:rPr>
          <w:rStyle w:val="VerbatimChar"/>
        </w:rPr>
        <w:t xml:space="preserve">        source_dims=inverse_source_dims,</w:t>
      </w:r>
      <w:r>
        <w:br/>
      </w:r>
      <w:r>
        <w:rPr>
          <w:rStyle w:val="VerbatimChar"/>
        </w:rPr>
        <w:t xml:space="preserve">        target_dims=inverse_target_dims,</w:t>
      </w:r>
      <w:r>
        <w:br/>
      </w:r>
      <w:r>
        <w:rPr>
          <w:rStyle w:val="VerbatimChar"/>
        </w:rPr>
        <w:t xml:space="preserve">        source_labels=inverse_source_labels,</w:t>
      </w:r>
      <w:r>
        <w:br/>
      </w:r>
      <w:r>
        <w:rPr>
          <w:rStyle w:val="VerbatimChar"/>
        </w:rPr>
        <w:t xml:space="preserve">        target_labels=inverse_target_labels,</w:t>
      </w:r>
      <w:r>
        <w:br/>
      </w:r>
      <w:r>
        <w:rPr>
          <w:rStyle w:val="VerbatimChar"/>
        </w:rPr>
        <w:t xml:space="preserve">        blocks=inverse_blocks,</w:t>
      </w:r>
      <w:r>
        <w:br/>
      </w:r>
      <w:r>
        <w:rPr>
          <w:rStyle w:val="VerbatimChar"/>
        </w:rPr>
        <w:t xml:space="preserve">    )</w:t>
      </w:r>
    </w:p>
    <w:p>
      <w:pPr>
        <w:pStyle w:val="FirstParagraph"/>
      </w:pPr>
      <w:r>
        <w:t xml:space="preserve">The implementation does use set equality to validate that the ordered label sequences contain the expected labels, but</w:t>
      </w:r>
      <w:r>
        <w:t xml:space="preserve"> </w:t>
      </w:r>
      <w:r>
        <w:rPr>
          <w:b/>
          <w:bCs/>
        </w:rPr>
        <w:t xml:space="preserve">never uses set iteration to determine positional layout</w:t>
      </w:r>
      <w:r>
        <w:t xml:space="preserve">. Slices are created exclusively by iterating explicit</w:t>
      </w:r>
      <w:r>
        <w:t xml:space="preserve"> </w:t>
      </w:r>
      <w:r>
        <w:rPr>
          <w:rStyle w:val="VerbatimChar"/>
        </w:rPr>
        <w:t xml:space="preserve">source_labels</w:t>
      </w:r>
      <w:r>
        <w:t xml:space="preserve"> </w:t>
      </w:r>
      <w:r>
        <w:t xml:space="preserve">and</w:t>
      </w:r>
      <w:r>
        <w:t xml:space="preserve"> </w:t>
      </w:r>
      <w:r>
        <w:rPr>
          <w:rStyle w:val="VerbatimChar"/>
        </w:rPr>
        <w:t xml:space="preserve">target_labels</w:t>
      </w:r>
      <w:r>
        <w:t xml:space="preserve"> </w:t>
      </w:r>
      <w:r>
        <w:t xml:space="preserve">sequences in their declared order. That satisfies the distinction required by the rewrite brief: sets may be useful for membership/equality checks, but their iteration order is not part of the block-layout ABI. fileciteturn0file0</w:t>
      </w:r>
    </w:p>
    <w:p>
      <w:pPr>
        <w:pStyle w:val="BodyText"/>
      </w:pPr>
      <w:r>
        <w:t xml:space="preserve">The actual executed output was:</w:t>
      </w:r>
    </w:p>
    <w:p>
      <w:pPr>
        <w:pStyle w:val="SourceCode"/>
      </w:pPr>
      <w:r>
        <w:rPr>
          <w:rStyle w:val="VerbatimChar"/>
        </w:rPr>
        <w:t xml:space="preserve">BLOCK PSEUDOINVERSE CHECK</w:t>
      </w:r>
      <w:r>
        <w:br/>
      </w:r>
      <w:r>
        <w:rPr>
          <w:rStyle w:val="VerbatimChar"/>
        </w:rPr>
        <w:t xml:space="preserve">A_shape = (3, 3)</w:t>
      </w:r>
      <w:r>
        <w:br/>
      </w:r>
      <w:r>
        <w:rPr>
          <w:rStyle w:val="VerbatimChar"/>
        </w:rPr>
        <w:t xml:space="preserve">pinv_shape = (3, 3)</w:t>
      </w:r>
      <w:r>
        <w:br/>
      </w:r>
      <w:r>
        <w:rPr>
          <w:rStyle w:val="VerbatimChar"/>
        </w:rPr>
        <w:t xml:space="preserve">inverse_source_labels = ('x', 'y')</w:t>
      </w:r>
      <w:r>
        <w:br/>
      </w:r>
      <w:r>
        <w:rPr>
          <w:rStyle w:val="VerbatimChar"/>
        </w:rPr>
        <w:t xml:space="preserve">inverse_target_labels = ('a', 'b')</w:t>
      </w:r>
      <w:r>
        <w:br/>
      </w:r>
      <w:r>
        <w:rPr>
          <w:rStyle w:val="VerbatimChar"/>
        </w:rPr>
        <w:t xml:space="preserve">x_hat = [ 1.   0.5 -1. ]</w:t>
      </w:r>
      <w:r>
        <w:br/>
      </w:r>
      <w:r>
        <w:rPr>
          <w:rStyle w:val="VerbatimChar"/>
        </w:rPr>
        <w:t xml:space="preserve">matches_numpy_pinv = True</w:t>
      </w:r>
      <w:r>
        <w:br/>
      </w:r>
      <w:r>
        <w:rPr>
          <w:rStyle w:val="VerbatimChar"/>
        </w:rPr>
        <w:t xml:space="preserve">penrose_1 = True</w:t>
      </w:r>
      <w:r>
        <w:br/>
      </w:r>
      <w:r>
        <w:rPr>
          <w:rStyle w:val="VerbatimChar"/>
        </w:rPr>
        <w:t xml:space="preserve">penrose_2 = True</w:t>
      </w:r>
    </w:p>
    <w:p>
      <w:pPr>
        <w:pStyle w:val="FirstParagraph"/>
      </w:pPr>
      <w:r>
        <w:t xml:space="preserve">Those numerical values and Boolean results point to the saved executable artifact rather than an external citation. The test demonstrates that the reconstructed labeled pseudoinverse has the same dense matrix as</w:t>
      </w:r>
      <w:r>
        <w:t xml:space="preserve"> </w:t>
      </w:r>
      <w:r>
        <w:rPr>
          <w:rStyle w:val="VerbatimChar"/>
        </w:rPr>
        <w:t xml:space="preserve">numpy.linalg.pinv</w:t>
      </w:r>
      <w:r>
        <w:t xml:space="preserve"> </w:t>
      </w:r>
      <w:r>
        <w:t xml:space="preserve">for the test operator and that the two checked Penrose identities hold for that execution. It does</w:t>
      </w:r>
      <w:r>
        <w:t xml:space="preserve"> </w:t>
      </w:r>
      <w:r>
        <w:rPr>
          <w:b/>
          <w:bCs/>
        </w:rPr>
        <w:t xml:space="preserve">not</w:t>
      </w:r>
      <w:r>
        <w:t xml:space="preserve"> </w:t>
      </w:r>
      <w:r>
        <w:t xml:space="preserve">establish correctness for every possible malformed metadata configuration, sparse storage strategy, numerical dtype, rank tolerance, or degenerate block layout. Those should be covered by the project’s own test suite before the implementation receives project-level</w:t>
      </w:r>
      <w:r>
        <w:t xml:space="preserve"> </w:t>
      </w:r>
      <w:r>
        <w:rPr>
          <w:rStyle w:val="VerbatimChar"/>
        </w:rPr>
        <w:t xml:space="preserve">VERIFIED</w:t>
      </w:r>
      <w:r>
        <w:t xml:space="preserve"> </w:t>
      </w:r>
      <w:r>
        <w:t xml:space="preserve">status.</w:t>
      </w:r>
    </w:p>
    <w:p>
      <w:pPr>
        <w:pStyle w:val="BodyText"/>
      </w:pPr>
      <w:r>
        <w:t xml:space="preserve">A production implementation should also test rectangular maps, rank-deficient maps, differently ordered source and target label sequences, empty/missing permitted blocks, incompatible metadata, and a round trip from blocks to dense form and back. Those are recommendations, not claims that the current Nexus code already contains such tests.</w:t>
      </w:r>
    </w:p>
    <w:bookmarkEnd w:id="40"/>
    <w:bookmarkStart w:id="41" w:name="Xbdfd934387b99cd73abe4494d16e0c7efe24618"/>
    <w:p>
      <w:pPr>
        <w:pStyle w:val="Heading2"/>
      </w:pPr>
      <w:r>
        <w:t xml:space="preserve">Claim-status audit, limitations, recommendations, and source URLs</w:t>
      </w:r>
    </w:p>
    <w:p>
      <w:pPr>
        <w:pStyle w:val="FirstParagraph"/>
      </w:pPr>
      <w:r>
        <w:t xml:space="preserve">The following audit covers the substantive equations, quantitative claims, and research propositions introduced in this replacement design. Because the actual HTLA manuscript and companion chapter were not supplied, it cannot be a sentence-by-sentence audit of those unseen documents. fileciteturn0file0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Evidentiary basis / required wording</w:t>
            </w:r>
          </w:p>
        </w:tc>
      </w:tr>
      <w:tr>
        <w:tc>
          <w:tcPr/>
          <w:p>
            <w:pPr>
              <w:pStyle w:val="Compact"/>
            </w:pPr>
            <w:r>
              <w:t xml:space="preserve">Labeled state space</w:t>
            </w:r>
            <w:r>
              <w:t xml:space="preserve"> </w:t>
            </w:r>
            <m:oMath>
              <m:r>
                <m:rPr>
                  <m:scr m:val="script"/>
                  <m:sty m:val="p"/>
                </m:rPr>
                <m:t>H</m:t>
              </m:r>
              <m:r>
                <m:rPr>
                  <m:sty m:val="p"/>
                </m:rPr>
                <m:t>=</m:t>
              </m:r>
              <m:sSub>
                <m:e>
                  <m:r>
                    <m:rPr>
                      <m:sty m:val="p"/>
                    </m:rPr>
                    <m:t>⨁</m:t>
                  </m:r>
                </m:e>
                <m:sub>
                  <m:r>
                    <m:t>ℓ</m:t>
                  </m:r>
                  <m:r>
                    <m:rPr>
                      <m:sty m:val="p"/>
                    </m:rPr>
                    <m:t>∈</m:t>
                  </m:r>
                  <m:r>
                    <m:t>L</m:t>
                  </m:r>
                </m:sub>
              </m:sSub>
              <m:sSup>
                <m:e>
                  <m:r>
                    <m:rPr>
                      <m:scr m:val="double-struck"/>
                      <m:sty m:val="p"/>
                    </m:rPr>
                    <m:t>R</m:t>
                  </m:r>
                </m:e>
                <m:sup>
                  <m:sSub>
                    <m:e>
                      <m:r>
                        <m:t>n</m:t>
                      </m:r>
                    </m:e>
                    <m:sub>
                      <m:r>
                        <m:t>ℓ</m:t>
                      </m:r>
                    </m:sub>
                  </m:sSub>
                </m:sup>
              </m:sSup>
            </m:oMath>
          </w:p>
        </w:tc>
        <w:tc>
          <w:tcPr/>
          <w:p>
            <w:pPr>
              <w:pStyle w:val="Compact"/>
            </w:pPr>
            <w:r>
              <w:rPr>
                <w:rStyle w:val="VerbatimChar"/>
              </w:rPr>
              <w:t xml:space="preserve">VERIFIED</w:t>
            </w:r>
          </w:p>
        </w:tc>
        <w:tc>
          <w:tcPr/>
          <w:p>
            <w:pPr>
              <w:pStyle w:val="Compact"/>
            </w:pPr>
            <w:r>
              <w:t xml:space="preserve">Definition plus standard finite-dimensional direct-sum algebra.</w:t>
            </w:r>
          </w:p>
        </w:tc>
      </w:tr>
      <w:tr>
        <w:tc>
          <w:tcPr/>
          <w:p>
            <w:pPr>
              <w:pStyle w:val="Compact"/>
            </w:pPr>
            <w:r>
              <w:t xml:space="preserve">Orthogonal projection identities for</w:t>
            </w:r>
            <w:r>
              <w:t xml:space="preserve"> </w:t>
            </w:r>
            <m:oMath>
              <m:sSub>
                <m:e>
                  <m:r>
                    <m:t>e</m:t>
                  </m:r>
                </m:e>
                <m:sub>
                  <m:r>
                    <m:t>ℓ</m:t>
                  </m:r>
                </m:sub>
              </m:sSub>
            </m:oMath>
          </w:p>
        </w:tc>
        <w:tc>
          <w:tcPr/>
          <w:p>
            <w:pPr>
              <w:pStyle w:val="Compact"/>
            </w:pPr>
            <w:r>
              <w:rPr>
                <w:rStyle w:val="VerbatimChar"/>
              </w:rPr>
              <w:t xml:space="preserve">VERIFIED</w:t>
            </w:r>
          </w:p>
        </w:tc>
        <w:tc>
          <w:tcPr/>
          <w:p>
            <w:pPr>
              <w:pStyle w:val="Compact"/>
            </w:pPr>
            <w:r>
              <w:t xml:space="preserve">Direct proof from component projections.</w:t>
            </w:r>
          </w:p>
        </w:tc>
      </w:tr>
      <w:tr>
        <w:tc>
          <w:tcPr/>
          <w:p>
            <w:pPr>
              <w:pStyle w:val="Compact"/>
            </w:pPr>
            <m:oMath>
              <m:r>
                <m:rPr>
                  <m:sty m:val="p"/>
                </m:rPr>
                <m:t>End</m:t>
              </m:r>
              <m:r>
                <m:rPr>
                  <m:sty m:val="p"/>
                </m:rPr>
                <m:t>(</m:t>
              </m:r>
              <m:r>
                <m:rPr>
                  <m:scr m:val="script"/>
                  <m:sty m:val="p"/>
                </m:rPr>
                <m:t>H</m:t>
              </m:r>
              <m:r>
                <m:rPr>
                  <m:sty m:val="p"/>
                </m:rPr>
                <m:t>)</m:t>
              </m:r>
              <m:r>
                <m:rPr>
                  <m:sty m:val="p"/>
                </m:rPr>
                <m:t>=</m:t>
              </m:r>
              <m:sSub>
                <m:e>
                  <m:r>
                    <m:rPr>
                      <m:sty m:val="p"/>
                    </m:rPr>
                    <m:t>⨁</m:t>
                  </m:r>
                </m:e>
                <m:sub>
                  <m:r>
                    <m:t>t</m:t>
                  </m:r>
                  <m:r>
                    <m:rPr>
                      <m:sty m:val="p"/>
                    </m:rPr>
                    <m:t>,</m:t>
                  </m:r>
                  <m:r>
                    <m:t>s</m:t>
                  </m:r>
                </m:sub>
              </m:sSub>
              <m:sSub>
                <m:e>
                  <m:r>
                    <m:t>e</m:t>
                  </m:r>
                </m:e>
                <m:sub>
                  <m:r>
                    <m:t>t</m:t>
                  </m:r>
                </m:sub>
              </m:sSub>
              <m:r>
                <m:rPr>
                  <m:sty m:val="p"/>
                </m:rPr>
                <m:t>End</m:t>
              </m:r>
              <m:r>
                <m:rPr>
                  <m:sty m:val="p"/>
                </m:rPr>
                <m:t>(</m:t>
              </m:r>
              <m:r>
                <m:rPr>
                  <m:scr m:val="script"/>
                  <m:sty m:val="p"/>
                </m:rPr>
                <m:t>H</m:t>
              </m:r>
              <m:r>
                <m:rPr>
                  <m:sty m:val="p"/>
                </m:rPr>
                <m:t>)</m:t>
              </m:r>
              <m:sSub>
                <m:e>
                  <m:r>
                    <m:t>e</m:t>
                  </m:r>
                </m:e>
                <m:sub>
                  <m:r>
                    <m:t>s</m:t>
                  </m:r>
                </m:sub>
              </m:sSub>
            </m:oMath>
          </w:p>
        </w:tc>
        <w:tc>
          <w:tcPr/>
          <w:p>
            <w:pPr>
              <w:pStyle w:val="Compact"/>
            </w:pPr>
            <w:r>
              <w:rPr>
                <w:rStyle w:val="VerbatimChar"/>
              </w:rPr>
              <w:t xml:space="preserve">VERIFIED</w:t>
            </w:r>
          </w:p>
        </w:tc>
        <w:tc>
          <w:tcPr/>
          <w:p>
            <w:pPr>
              <w:pStyle w:val="Compact"/>
            </w:pPr>
            <w:r>
              <w:t xml:space="preserve">Direct expansion with the identity; standard Peirce structure.</w:t>
            </w:r>
            <w:r>
              <w:t xml:space="preserve"> </w:t>
            </w:r>
            <w:hyperlink r:id="rId11">
              <w:r>
                <w:rPr>
                  <w:rStyle w:val="Hyperlink"/>
                </w:rPr>
                <w:t xml:space="preserve">[12]</w:t>
              </w:r>
            </w:hyperlink>
          </w:p>
        </w:tc>
      </w:tr>
      <w:tr>
        <w:tc>
          <w:tcPr/>
          <w:p>
            <w:pPr>
              <w:pStyle w:val="Compact"/>
            </w:pPr>
            <w:r>
              <w:t xml:space="preserve">Ring-with-several-objects/preadditive-category interpretation</w:t>
            </w:r>
          </w:p>
        </w:tc>
        <w:tc>
          <w:tcPr/>
          <w:p>
            <w:pPr>
              <w:pStyle w:val="Compact"/>
            </w:pPr>
            <w:r>
              <w:rPr>
                <w:rStyle w:val="VerbatimChar"/>
              </w:rPr>
              <w:t xml:space="preserve">VERIFIED</w:t>
            </w:r>
          </w:p>
        </w:tc>
        <w:tc>
          <w:tcPr/>
          <w:p>
            <w:pPr>
              <w:pStyle w:val="Compact"/>
            </w:pPr>
            <w:r>
              <w:t xml:space="preserve">Mitchell lineage and modern use.</w:t>
            </w:r>
            <w:r>
              <w:t xml:space="preserve"> </w:t>
            </w:r>
            <w:hyperlink r:id="rId29">
              <w:r>
                <w:rPr>
                  <w:rStyle w:val="Hyperlink"/>
                </w:rPr>
                <w:t xml:space="preserve">[21]</w:t>
              </w:r>
            </w:hyperlink>
          </w:p>
        </w:tc>
      </w:tr>
      <w:tr>
        <w:tc>
          <w:tcPr/>
          <w:p>
            <w:pPr>
              <w:pStyle w:val="Compact"/>
            </w:pPr>
            <w:r>
              <w:t xml:space="preserve">Legacy all-linear-maps flattening functor is full as well as faithful</w:t>
            </w:r>
          </w:p>
        </w:tc>
        <w:tc>
          <w:tcPr/>
          <w:p>
            <w:pPr>
              <w:pStyle w:val="Compact"/>
            </w:pPr>
            <w:r>
              <w:rPr>
                <w:rStyle w:val="VerbatimChar"/>
              </w:rPr>
              <w:t xml:space="preserve">VERIFIED</w:t>
            </w:r>
          </w:p>
        </w:tc>
        <w:tc>
          <w:tcPr/>
          <w:p>
            <w:pPr>
              <w:pStyle w:val="Compact"/>
            </w:pPr>
            <w:r>
              <w:t xml:space="preserve">Follows immediately from the hom-set definition described in the supplied defect report. fileciteturn0file0</w:t>
            </w:r>
          </w:p>
        </w:tc>
      </w:tr>
      <w:tr>
        <w:tc>
          <w:tcPr/>
          <w:p>
            <w:pPr>
              <w:pStyle w:val="Compact"/>
            </w:pPr>
            <w:r>
              <w:t xml:space="preserve">Strictly positive label weights give an inner product</w:t>
            </w:r>
          </w:p>
        </w:tc>
        <w:tc>
          <w:tcPr/>
          <w:p>
            <w:pPr>
              <w:pStyle w:val="Compact"/>
            </w:pPr>
            <w:r>
              <w:rPr>
                <w:rStyle w:val="VerbatimChar"/>
              </w:rPr>
              <w:t xml:space="preserve">VERIFIED</w:t>
            </w:r>
          </w:p>
        </w:tc>
        <w:tc>
          <w:tcPr/>
          <w:p>
            <w:pPr>
              <w:pStyle w:val="Compact"/>
            </w:pPr>
            <w:r>
              <w:t xml:space="preserve">Direct positivity/symmetry proof.</w:t>
            </w:r>
          </w:p>
        </w:tc>
      </w:tr>
      <w:tr>
        <w:tc>
          <w:tcPr/>
          <w:p>
            <w:pPr>
              <w:pStyle w:val="Compact"/>
            </w:pPr>
            <w:r>
              <w:t xml:space="preserve">A zero-weight component makes the induced full-space norm only a seminorm</w:t>
            </w:r>
          </w:p>
        </w:tc>
        <w:tc>
          <w:tcPr/>
          <w:p>
            <w:pPr>
              <w:pStyle w:val="Compact"/>
            </w:pPr>
            <w:r>
              <w:rPr>
                <w:rStyle w:val="VerbatimChar"/>
              </w:rPr>
              <w:t xml:space="preserve">VERIFIED</w:t>
            </w:r>
          </w:p>
        </w:tc>
        <w:tc>
          <w:tcPr/>
          <w:p>
            <w:pPr>
              <w:pStyle w:val="Compact"/>
            </w:pPr>
            <w:r>
              <w:t xml:space="preserve">Direct counterexample using a nonzero state supported in the zero-weight component; correction required by supplied brief. fileciteturn0file0</w:t>
            </w:r>
          </w:p>
        </w:tc>
      </w:tr>
      <w:tr>
        <w:tc>
          <w:tcPr/>
          <w:p>
            <w:pPr>
              <w:pStyle w:val="Compact"/>
            </w:pPr>
            <m:oMath>
              <m:sSup>
                <m:e>
                  <m:r>
                    <m:t>H</m:t>
                  </m:r>
                </m:e>
                <m:sup>
                  <m:r>
                    <m:rPr>
                      <m:sty m:val="p"/>
                    </m:rPr>
                    <m:t>⊤</m:t>
                  </m:r>
                </m:sup>
              </m:sSup>
              <m:r>
                <m:t>W</m:t>
              </m:r>
              <m:r>
                <m:t>K</m:t>
              </m:r>
            </m:oMath>
            <w:r>
              <w:t xml:space="preserve"> </w:t>
            </w:r>
            <w:r>
              <w:t xml:space="preserve">is a full-space inner product when</w:t>
            </w:r>
            <w:r>
              <w:t xml:space="preserve"> </w:t>
            </w:r>
            <m:oMath>
              <m:r>
                <m:t>W</m:t>
              </m:r>
            </m:oMath>
            <w:r>
              <w:t xml:space="preserve"> </w:t>
            </w:r>
            <w:r>
              <w:t xml:space="preserve">is symmetric positive definite</w:t>
            </w:r>
          </w:p>
        </w:tc>
        <w:tc>
          <w:tcPr/>
          <w:p>
            <w:pPr>
              <w:pStyle w:val="Compact"/>
            </w:pPr>
            <w:r>
              <w:rPr>
                <w:rStyle w:val="VerbatimChar"/>
              </w:rPr>
              <w:t xml:space="preserve">VERIFIED</w:t>
            </w:r>
          </w:p>
        </w:tc>
        <w:tc>
          <w:tcPr/>
          <w:p>
            <w:pPr>
              <w:pStyle w:val="Compact"/>
            </w:pPr>
            <w:r>
              <w:t xml:space="preserve">Direct characterization by the inner-product axioms.</w:t>
            </w:r>
          </w:p>
        </w:tc>
      </w:tr>
      <w:tr>
        <w:tc>
          <w:tcPr/>
          <w:p>
            <w:pPr>
              <w:pStyle w:val="Compact"/>
            </w:pPr>
            <w:r>
              <w:t xml:space="preserve">Symmetric positive-semidefinite but singular</w:t>
            </w:r>
            <w:r>
              <w:t xml:space="preserve"> </w:t>
            </w:r>
            <m:oMath>
              <m:r>
                <m:t>W</m:t>
              </m:r>
            </m:oMath>
            <w:r>
              <w:t xml:space="preserve"> </w:t>
            </w:r>
            <w:r>
              <w:t xml:space="preserve">produces only a seminorm</w:t>
            </w:r>
          </w:p>
        </w:tc>
        <w:tc>
          <w:tcPr/>
          <w:p>
            <w:pPr>
              <w:pStyle w:val="Compact"/>
            </w:pPr>
            <w:r>
              <w:rPr>
                <w:rStyle w:val="VerbatimChar"/>
              </w:rPr>
              <w:t xml:space="preserve">VERIFIED</w:t>
            </w:r>
          </w:p>
        </w:tc>
        <w:tc>
          <w:tcPr/>
          <w:p>
            <w:pPr>
              <w:pStyle w:val="Compact"/>
            </w:pPr>
            <w:r>
              <w:t xml:space="preserve">Nullspace gives nonzero vectors of zero quadratic value.</w:t>
            </w:r>
          </w:p>
        </w:tc>
      </w:tr>
      <w:tr>
        <w:tc>
          <w:tcPr/>
          <w:p>
            <w:pPr>
              <w:pStyle w:val="Compact"/>
            </w:pPr>
            <w:r>
              <w:t xml:space="preserve">General asymmetric/indefinite</w:t>
            </w:r>
            <w:r>
              <w:t xml:space="preserve"> </w:t>
            </w:r>
            <m:oMath>
              <m:r>
                <m:t>W</m:t>
              </m:r>
            </m:oMath>
            <w:r>
              <w:t xml:space="preserve"> </w:t>
            </w:r>
            <w:r>
              <w:t xml:space="preserve">should be called a similarity or compatibility score</w:t>
            </w:r>
          </w:p>
        </w:tc>
        <w:tc>
          <w:tcPr/>
          <w:p>
            <w:pPr>
              <w:pStyle w:val="Compact"/>
            </w:pPr>
            <w:r>
              <w:rPr>
                <w:rStyle w:val="VerbatimChar"/>
              </w:rPr>
              <w:t xml:space="preserve">PROPOSED</w:t>
            </w:r>
          </w:p>
        </w:tc>
        <w:tc>
          <w:tcPr/>
          <w:p>
            <w:pPr>
              <w:pStyle w:val="Compact"/>
            </w:pPr>
            <w:r>
              <w:t xml:space="preserve">Terminology chosen to prevent unsupported metric/inner-product semantics.</w:t>
            </w:r>
          </w:p>
        </w:tc>
      </w:tr>
      <w:tr>
        <w:tc>
          <w:tcPr/>
          <w:p>
            <w:pPr>
              <w:pStyle w:val="Compact"/>
            </w:pPr>
            <w:r>
              <w:t xml:space="preserve">Tikhonov spectral filter</w:t>
            </w:r>
            <w:r>
              <w:t xml:space="preserve"> </w:t>
            </w:r>
            <m:oMath>
              <m:r>
                <m:t>V</m:t>
              </m:r>
              <m:r>
                <m:rPr>
                  <m:sty m:val="p"/>
                </m:rPr>
                <m:t>(</m:t>
              </m:r>
              <m:sSup>
                <m:e>
                  <m:r>
                    <m:rPr>
                      <m:sty m:val="p"/>
                    </m:rPr>
                    <m:t>Σ</m:t>
                  </m:r>
                </m:e>
                <m:sup>
                  <m:r>
                    <m:t>2</m:t>
                  </m:r>
                </m:sup>
              </m:sSup>
              <m:r>
                <m:rPr>
                  <m:sty m:val="p"/>
                </m:rPr>
                <m:t>+</m:t>
              </m:r>
              <m:r>
                <m:t>λ</m:t>
              </m:r>
              <m:r>
                <m:t>I</m:t>
              </m:r>
              <m:sSup>
                <m:e>
                  <m:r>
                    <m:rPr>
                      <m:sty m:val="p"/>
                    </m:rPr>
                    <m:t>)</m:t>
                  </m:r>
                </m:e>
                <m:sup>
                  <m:r>
                    <m:rPr>
                      <m:sty m:val="p"/>
                    </m:rPr>
                    <m:t>−</m:t>
                  </m:r>
                  <m:r>
                    <m:t>1</m:t>
                  </m:r>
                </m:sup>
              </m:sSup>
              <m:r>
                <m:rPr>
                  <m:sty m:val="p"/>
                </m:rPr>
                <m:t>Σ</m:t>
              </m:r>
              <m:sSup>
                <m:e>
                  <m:r>
                    <m:t>U</m:t>
                  </m:r>
                </m:e>
                <m:sup>
                  <m:r>
                    <m:rPr>
                      <m:sty m:val="p"/>
                    </m:rPr>
                    <m:t>⊤</m:t>
                  </m:r>
                </m:sup>
              </m:sSup>
            </m:oMath>
            <w:r>
              <w:t xml:space="preserve"> </w:t>
            </w:r>
            <w:r>
              <w:t xml:space="preserve">is not an exact inverse for positive regularization</w:t>
            </w:r>
          </w:p>
        </w:tc>
        <w:tc>
          <w:tcPr/>
          <w:p>
            <w:pPr>
              <w:pStyle w:val="Compact"/>
            </w:pPr>
            <w:r>
              <w:rPr>
                <w:rStyle w:val="VerbatimChar"/>
              </w:rPr>
              <w:t xml:space="preserve">VERIFIED</w:t>
            </w:r>
          </w:p>
        </w:tc>
        <w:tc>
          <w:tcPr/>
          <w:p>
            <w:pPr>
              <w:pStyle w:val="Compact"/>
            </w:pPr>
            <w:r>
              <w:t xml:space="preserve">Direct singular-coordinate calculation in the report and executed example.</w:t>
            </w:r>
          </w:p>
        </w:tc>
      </w:tr>
      <w:tr>
        <w:tc>
          <w:tcPr/>
          <w:p>
            <w:pPr>
              <w:pStyle w:val="Compact"/>
            </w:pPr>
            <w:r>
              <w:t xml:space="preserve">Corrected worked-example solution and residual</w:t>
            </w:r>
          </w:p>
        </w:tc>
        <w:tc>
          <w:tcPr/>
          <w:p>
            <w:pPr>
              <w:pStyle w:val="Compact"/>
            </w:pPr>
            <w:r>
              <w:rPr>
                <w:rStyle w:val="VerbatimChar"/>
              </w:rPr>
              <w:t xml:space="preserve">VERIFIED</w:t>
            </w:r>
          </w:p>
        </w:tc>
        <w:tc>
          <w:tcPr/>
          <w:p>
            <w:pPr>
              <w:pStyle w:val="Compact"/>
            </w:pPr>
            <w:hyperlink r:id="rId12">
              <w:r>
                <w:rPr>
                  <w:rStyle w:val="Hyperlink"/>
                </w:rPr>
                <w:t xml:space="preserve">Executed script</w:t>
              </w:r>
            </w:hyperlink>
            <w:r>
              <w:t xml:space="preserve"> </w:t>
            </w:r>
            <w:r>
              <w:t xml:space="preserve">and</w:t>
            </w:r>
            <w:r>
              <w:t xml:space="preserve"> </w:t>
            </w:r>
            <w:hyperlink r:id="rId13">
              <w:r>
                <w:rPr>
                  <w:rStyle w:val="Hyperlink"/>
                </w:rPr>
                <w:t xml:space="preserve">captured output</w:t>
              </w:r>
            </w:hyperlink>
            <w:r>
              <w:t xml:space="preserve">.</w:t>
            </w:r>
          </w:p>
        </w:tc>
      </w:tr>
      <w:tr>
        <w:tc>
          <w:tcPr/>
          <w:p>
            <w:pPr>
              <w:pStyle w:val="Compact"/>
            </w:pPr>
            <w:r>
              <w:t xml:space="preserve">Correct pseudoinverse type direction swaps source and target label roles</w:t>
            </w:r>
          </w:p>
        </w:tc>
        <w:tc>
          <w:tcPr/>
          <w:p>
            <w:pPr>
              <w:pStyle w:val="Compact"/>
            </w:pPr>
            <w:r>
              <w:rPr>
                <w:rStyle w:val="VerbatimChar"/>
              </w:rPr>
              <w:t xml:space="preserve">VERIFIED</w:t>
            </w:r>
          </w:p>
        </w:tc>
        <w:tc>
          <w:tcPr/>
          <w:p>
            <w:pPr>
              <w:pStyle w:val="Compact"/>
            </w:pPr>
            <w:r>
              <w:t xml:space="preserve">Linear-map variance plus executed dense-equivalence test.</w:t>
            </w:r>
          </w:p>
        </w:tc>
      </w:tr>
      <w:tr>
        <w:tc>
          <w:tcPr/>
          <w:p>
            <w:pPr>
              <w:pStyle w:val="Compact"/>
            </w:pPr>
            <w:r>
              <w:t xml:space="preserve">Ordered label sequences must define positional slicing</w:t>
            </w:r>
          </w:p>
        </w:tc>
        <w:tc>
          <w:tcPr/>
          <w:p>
            <w:pPr>
              <w:pStyle w:val="Compact"/>
            </w:pPr>
            <w:r>
              <w:rPr>
                <w:rStyle w:val="VerbatimChar"/>
              </w:rPr>
              <w:t xml:space="preserve">PROPOSED</w:t>
            </w:r>
          </w:p>
        </w:tc>
        <w:tc>
          <w:tcPr/>
          <w:p>
            <w:pPr>
              <w:pStyle w:val="Compact"/>
            </w:pPr>
            <w:r>
              <w:t xml:space="preserve">ABI correctness recommendation addressing the concrete defect in the supplied specification. fileciteturn0file0</w:t>
            </w:r>
          </w:p>
        </w:tc>
      </w:tr>
      <w:tr>
        <w:tc>
          <w:tcPr/>
          <w:p>
            <w:pPr>
              <w:pStyle w:val="Compact"/>
            </w:pPr>
            <w:r>
              <w:t xml:space="preserve">Penrose identity checks in supplied executable test</w:t>
            </w:r>
          </w:p>
        </w:tc>
        <w:tc>
          <w:tcPr/>
          <w:p>
            <w:pPr>
              <w:pStyle w:val="Compact"/>
            </w:pPr>
            <w:r>
              <w:rPr>
                <w:rStyle w:val="VerbatimChar"/>
              </w:rPr>
              <w:t xml:space="preserve">VERIFIED</w:t>
            </w:r>
          </w:p>
        </w:tc>
        <w:tc>
          <w:tcPr/>
          <w:p>
            <w:pPr>
              <w:pStyle w:val="Compact"/>
            </w:pPr>
            <w:hyperlink r:id="rId13">
              <w:r>
                <w:rPr>
                  <w:rStyle w:val="Hyperlink"/>
                </w:rPr>
                <w:t xml:space="preserve">Captured execution</w:t>
              </w:r>
            </w:hyperlink>
            <w:r>
              <w:t xml:space="preserve">.</w:t>
            </w:r>
          </w:p>
        </w:tc>
      </w:tr>
      <w:tr>
        <w:tc>
          <w:tcPr/>
          <w:p>
            <w:pPr>
              <w:pStyle w:val="Compact"/>
            </w:pPr>
            <w:r>
              <w:t xml:space="preserve">Johnson–Lindenstrauss finite-set distance preservation</w:t>
            </w:r>
          </w:p>
        </w:tc>
        <w:tc>
          <w:tcPr/>
          <w:p>
            <w:pPr>
              <w:pStyle w:val="Compact"/>
            </w:pPr>
            <w:r>
              <w:rPr>
                <w:rStyle w:val="VerbatimChar"/>
              </w:rPr>
              <w:t xml:space="preserve">VERIFIED</w:t>
            </w:r>
          </w:p>
        </w:tc>
        <w:tc>
          <w:tcPr/>
          <w:p>
            <w:pPr>
              <w:pStyle w:val="Compact"/>
            </w:pPr>
            <w:r>
              <w:t xml:space="preserve">Classical theorem.</w:t>
            </w:r>
            <w:r>
              <w:t xml:space="preserve"> </w:t>
            </w:r>
            <w:hyperlink r:id="rId30">
              <w:r>
                <w:rPr>
                  <w:rStyle w:val="Hyperlink"/>
                </w:rPr>
                <w:t xml:space="preserve">[22]</w:t>
              </w:r>
            </w:hyperlink>
          </w:p>
        </w:tc>
      </w:tr>
      <w:tr>
        <w:tc>
          <w:tcPr/>
          <w:p>
            <w:pPr>
              <w:pStyle w:val="Compact"/>
            </w:pPr>
            <w:r>
              <w:t xml:space="preserve">JL projection preserves semantic truth or supplies exact unbinding</w:t>
            </w:r>
          </w:p>
        </w:tc>
        <w:tc>
          <w:tcPr/>
          <w:p>
            <w:pPr>
              <w:pStyle w:val="Compact"/>
            </w:pPr>
            <w:r>
              <w:rPr>
                <w:rStyle w:val="VerbatimChar"/>
              </w:rPr>
              <w:t xml:space="preserve">HISTORICAL/SUPERSEDED</w:t>
            </w:r>
            <w:r>
              <w:t xml:space="preserve"> </w:t>
            </w:r>
            <w:r>
              <w:t xml:space="preserve">if present in legacy text</w:t>
            </w:r>
          </w:p>
        </w:tc>
        <w:tc>
          <w:tcPr/>
          <w:p>
            <w:pPr>
              <w:pStyle w:val="Compact"/>
            </w:pPr>
            <w:r>
              <w:t xml:space="preserve">Not entailed by JL; contradicts required Nexus distinction between similarity and identity. fileciteturn0file0</w:t>
            </w:r>
          </w:p>
        </w:tc>
      </w:tr>
      <w:tr>
        <w:tc>
          <w:tcPr/>
          <w:p>
            <w:pPr>
              <w:pStyle w:val="Compact"/>
            </w:pPr>
            <w:r>
              <w:t xml:space="preserve">Truncated SVD gives best rank-constrained block approximation under the stated standard norms</w:t>
            </w:r>
          </w:p>
        </w:tc>
        <w:tc>
          <w:tcPr/>
          <w:p>
            <w:pPr>
              <w:pStyle w:val="Compact"/>
            </w:pPr>
            <w:r>
              <w:rPr>
                <w:rStyle w:val="VerbatimChar"/>
              </w:rPr>
              <w:t xml:space="preserve">VERIFIED</w:t>
            </w:r>
          </w:p>
        </w:tc>
        <w:tc>
          <w:tcPr/>
          <w:p>
            <w:pPr>
              <w:pStyle w:val="Compact"/>
            </w:pPr>
            <w:r>
              <w:t xml:space="preserve">Eckart–Young–Mirsky result.</w:t>
            </w:r>
            <w:r>
              <w:t xml:space="preserve"> </w:t>
            </w:r>
            <w:hyperlink r:id="rId31">
              <w:r>
                <w:rPr>
                  <w:rStyle w:val="Hyperlink"/>
                </w:rPr>
                <w:t xml:space="preserve">[23]</w:t>
              </w:r>
            </w:hyperlink>
          </w:p>
        </w:tc>
      </w:tr>
      <w:tr>
        <w:tc>
          <w:tcPr/>
          <w:p>
            <w:pPr>
              <w:pStyle w:val="Compact"/>
            </w:pPr>
            <w:r>
              <w:t xml:space="preserve">Standard sub-Gaussian Hanson–Wright tail structure</w:t>
            </w:r>
          </w:p>
        </w:tc>
        <w:tc>
          <w:tcPr/>
          <w:p>
            <w:pPr>
              <w:pStyle w:val="Compact"/>
            </w:pPr>
            <w:r>
              <w:rPr>
                <w:rStyle w:val="VerbatimChar"/>
              </w:rPr>
              <w:t xml:space="preserve">VERIFIED</w:t>
            </w:r>
          </w:p>
        </w:tc>
        <w:tc>
          <w:tcPr/>
          <w:p>
            <w:pPr>
              <w:pStyle w:val="Compact"/>
            </w:pPr>
            <w:r>
              <w:t xml:space="preserve">Rudelson–Vershynin.</w:t>
            </w:r>
            <w:r>
              <w:t xml:space="preserve"> </w:t>
            </w:r>
            <w:hyperlink r:id="rId15">
              <w:r>
                <w:rPr>
                  <w:rStyle w:val="Hyperlink"/>
                </w:rPr>
                <w:t xml:space="preserve">[4]</w:t>
              </w:r>
            </w:hyperlink>
          </w:p>
        </w:tc>
      </w:tr>
      <w:tr>
        <w:tc>
          <w:tcPr/>
          <w:p>
            <w:pPr>
              <w:pStyle w:val="Compact"/>
            </w:pPr>
            <w:r>
              <w:t xml:space="preserve">Legacy heavy-tail exponent substitution</w:t>
            </w:r>
          </w:p>
        </w:tc>
        <w:tc>
          <w:tcPr/>
          <w:p>
            <w:pPr>
              <w:pStyle w:val="Compact"/>
            </w:pPr>
            <w:r>
              <w:rPr>
                <w:rStyle w:val="VerbatimChar"/>
              </w:rPr>
              <w:t xml:space="preserve">HISTORICAL/SUPERSEDED</w:t>
            </w:r>
          </w:p>
        </w:tc>
        <w:tc>
          <w:tcPr/>
          <w:p>
            <w:pPr>
              <w:pStyle w:val="Compact"/>
            </w:pPr>
            <w:r>
              <w:t xml:space="preserve">Fails to reduce to the standard Hanson–Wright operator branch; real heavy-tail theory is multi-level.</w:t>
            </w:r>
            <w:r>
              <w:t xml:space="preserve"> </w:t>
            </w:r>
            <w:hyperlink r:id="rId16">
              <w:r>
                <w:rPr>
                  <w:rStyle w:val="Hyperlink"/>
                </w:rPr>
                <w:t xml:space="preserve">[5]</w:t>
              </w:r>
            </w:hyperlink>
          </w:p>
        </w:tc>
      </w:tr>
      <w:tr>
        <w:tc>
          <w:tcPr/>
          <w:p>
            <w:pPr>
              <w:pStyle w:val="Compact"/>
            </w:pPr>
            <w:r>
              <w:t xml:space="preserve">Heavy-tail extension using an exact published theorem with matched hypotheses</w:t>
            </w:r>
          </w:p>
        </w:tc>
        <w:tc>
          <w:tcPr/>
          <w:p>
            <w:pPr>
              <w:pStyle w:val="Compact"/>
            </w:pPr>
            <w:r>
              <w:rPr>
                <w:rStyle w:val="VerbatimChar"/>
              </w:rPr>
              <w:t xml:space="preserve">PROPOSED</w:t>
            </w:r>
          </w:p>
        </w:tc>
        <w:tc>
          <w:tcPr/>
          <w:p>
            <w:pPr>
              <w:pStyle w:val="Compact"/>
            </w:pPr>
            <w:r>
              <w:t xml:space="preserve">Götze–Sambale–Sinulis supplies an appropriate literature path.</w:t>
            </w:r>
            <w:r>
              <w:t xml:space="preserve"> </w:t>
            </w:r>
            <w:hyperlink r:id="rId16">
              <w:r>
                <w:rPr>
                  <w:rStyle w:val="Hyperlink"/>
                </w:rPr>
                <w:t xml:space="preserve">[26]</w:t>
              </w:r>
            </w:hyperlink>
          </w:p>
        </w:tc>
      </w:tr>
      <w:tr>
        <w:tc>
          <w:tcPr/>
          <w:p>
            <w:pPr>
              <w:pStyle w:val="Compact"/>
            </w:pPr>
            <w:r>
              <w:t xml:space="preserve">Generic</w:t>
            </w:r>
            <w:r>
              <w:t xml:space="preserve"> </w:t>
            </w:r>
            <m:oMath>
              <m:r>
                <m:t>O</m:t>
              </m:r>
              <m:r>
                <m:rPr>
                  <m:sty m:val="p"/>
                </m:rPr>
                <m:t>(</m:t>
              </m:r>
              <m:r>
                <m:rPr>
                  <m:sty m:val="p"/>
                </m:rPr>
                <m:t>log</m:t>
              </m:r>
              <m:r>
                <m:rPr>
                  <m:sty m:val="p"/>
                </m:rPr>
                <m:t>|</m:t>
              </m:r>
              <m:r>
                <m:t>L</m:t>
              </m:r>
              <m:r>
                <m:rPr>
                  <m:sty m:val="p"/>
                </m:rPr>
                <m:t>|</m:t>
              </m:r>
              <m:r>
                <m:rPr>
                  <m:sty m:val="p"/>
                </m:rPr>
                <m:t>)</m:t>
              </m:r>
            </m:oMath>
            <w:r>
              <w:t xml:space="preserve"> </w:t>
            </w:r>
            <w:r>
              <w:t xml:space="preserve">total gradient complexity</w:t>
            </w:r>
          </w:p>
        </w:tc>
        <w:tc>
          <w:tcPr/>
          <w:p>
            <w:pPr>
              <w:pStyle w:val="Compact"/>
            </w:pPr>
            <w:r>
              <w:rPr>
                <w:rStyle w:val="VerbatimChar"/>
              </w:rPr>
              <w:t xml:space="preserve">RESEARCH HYPOTHESIS</w:t>
            </w:r>
            <w:r>
              <w:t xml:space="preserve"> </w:t>
            </w:r>
            <w:r>
              <w:t xml:space="preserve">if retained; otherwise delete</w:t>
            </w:r>
          </w:p>
        </w:tc>
        <w:tc>
          <w:tcPr/>
          <w:p>
            <w:pPr>
              <w:pStyle w:val="Compact"/>
            </w:pPr>
            <w:r>
              <w:t xml:space="preserve">Sparse MoE results do not establish this theorem.</w:t>
            </w:r>
            <w:r>
              <w:t xml:space="preserve"> </w:t>
            </w:r>
            <w:hyperlink r:id="rId14">
              <w:r>
                <w:rPr>
                  <w:rStyle w:val="Hyperlink"/>
                </w:rPr>
                <w:t xml:space="preserve">[3]</w:t>
              </w:r>
            </w:hyperlink>
          </w:p>
        </w:tc>
      </w:tr>
      <w:tr>
        <w:tc>
          <w:tcPr/>
          <w:p>
            <w:pPr>
              <w:pStyle w:val="Compact"/>
            </w:pPr>
            <w:r>
              <w:t xml:space="preserve">Active-block computation can avoid proportional growth with total label population under bounded sparse activity and suitable routing</w:t>
            </w:r>
          </w:p>
        </w:tc>
        <w:tc>
          <w:tcPr/>
          <w:p>
            <w:pPr>
              <w:pStyle w:val="Compact"/>
            </w:pPr>
            <w:r>
              <w:rPr>
                <w:rStyle w:val="VerbatimChar"/>
              </w:rPr>
              <w:t xml:space="preserve">INFERRED</w:t>
            </w:r>
          </w:p>
        </w:tc>
        <w:tc>
          <w:tcPr/>
          <w:p>
            <w:pPr>
              <w:pStyle w:val="Compact"/>
            </w:pPr>
            <w:r>
              <w:t xml:space="preserve">Structural inference analogous to sparse conditional computation; assumptions must be explicit.</w:t>
            </w:r>
            <w:r>
              <w:t xml:space="preserve"> </w:t>
            </w:r>
            <w:hyperlink r:id="rId14">
              <w:r>
                <w:rPr>
                  <w:rStyle w:val="Hyperlink"/>
                </w:rPr>
                <w:t xml:space="preserve">[3]</w:t>
              </w:r>
            </w:hyperlink>
          </w:p>
        </w:tc>
      </w:tr>
      <w:tr>
        <w:tc>
          <w:tcPr/>
          <w:p>
            <w:pPr>
              <w:pStyle w:val="Compact"/>
            </w:pPr>
            <w:r>
              <w:t xml:space="preserve">HTLA-specific quantum speedup</w:t>
            </w:r>
          </w:p>
        </w:tc>
        <w:tc>
          <w:tcPr/>
          <w:p>
            <w:pPr>
              <w:pStyle w:val="Compact"/>
            </w:pPr>
            <w:r>
              <w:rPr>
                <w:rStyle w:val="VerbatimChar"/>
              </w:rPr>
              <w:t xml:space="preserve">RESEARCH HYPOTHESIS</w:t>
            </w:r>
          </w:p>
        </w:tc>
        <w:tc>
          <w:tcPr/>
          <w:p>
            <w:pPr>
              <w:pStyle w:val="Compact"/>
            </w:pPr>
            <w:r>
              <w:t xml:space="preserve">Generic QSVT/qubitization exists; no label-specific advantage was established in reviewed sources.</w:t>
            </w:r>
            <w:r>
              <w:t xml:space="preserve"> </w:t>
            </w:r>
            <w:hyperlink r:id="rId17">
              <w:r>
                <w:rPr>
                  <w:rStyle w:val="Hyperlink"/>
                </w:rPr>
                <w:t xml:space="preserve">[6]</w:t>
              </w:r>
            </w:hyperlink>
          </w:p>
        </w:tc>
      </w:tr>
      <w:tr>
        <w:tc>
          <w:tcPr/>
          <w:p>
            <w:pPr>
              <w:pStyle w:val="Compact"/>
            </w:pPr>
            <w:r>
              <w:t xml:space="preserve">Persistent homology of a defined time-varying coupling complex</w:t>
            </w:r>
          </w:p>
        </w:tc>
        <w:tc>
          <w:tcPr/>
          <w:p>
            <w:pPr>
              <w:pStyle w:val="Compact"/>
            </w:pPr>
            <w:r>
              <w:rPr>
                <w:rStyle w:val="VerbatimChar"/>
              </w:rPr>
              <w:t xml:space="preserve">RESEARCH HYPOTHESIS</w:t>
            </w:r>
          </w:p>
        </w:tc>
        <w:tc>
          <w:tcPr/>
          <w:p>
            <w:pPr>
              <w:pStyle w:val="Compact"/>
            </w:pPr>
            <w:r>
              <w:t xml:space="preserve">Zigzag-persistence literature gives an external method, but no Nexus filtration was supplied.</w:t>
            </w:r>
            <w:r>
              <w:t xml:space="preserve"> </w:t>
            </w:r>
            <w:hyperlink r:id="rId18">
              <w:r>
                <w:rPr>
                  <w:rStyle w:val="Hyperlink"/>
                </w:rPr>
                <w:t xml:space="preserve">[7]</w:t>
              </w:r>
            </w:hyperlink>
          </w:p>
        </w:tc>
      </w:tr>
      <w:tr>
        <w:tc>
          <w:tcPr/>
          <w:p>
            <w:pPr>
              <w:pStyle w:val="Compact"/>
            </w:pPr>
            <w:r>
              <w:t xml:space="preserve">Gauge-equivariant HTNLA</w:t>
            </w:r>
          </w:p>
        </w:tc>
        <w:tc>
          <w:tcPr/>
          <w:p>
            <w:pPr>
              <w:pStyle w:val="Compact"/>
            </w:pPr>
            <w:r>
              <w:rPr>
                <w:rStyle w:val="VerbatimChar"/>
              </w:rPr>
              <w:t xml:space="preserve">RESEARCH HYPOTHESIS</w:t>
            </w:r>
          </w:p>
        </w:tc>
        <w:tc>
          <w:tcPr/>
          <w:p>
            <w:pPr>
              <w:pStyle w:val="Compact"/>
            </w:pPr>
            <w:r>
              <w:t xml:space="preserve">External gauge-equivariant architectures exist; an HTLA gauge action has not been specified.</w:t>
            </w:r>
            <w:r>
              <w:t xml:space="preserve"> </w:t>
            </w:r>
            <w:hyperlink r:id="rId37">
              <w:r>
                <w:rPr>
                  <w:rStyle w:val="Hyperlink"/>
                </w:rPr>
                <w:t xml:space="preserve">[27]</w:t>
              </w:r>
            </w:hyperlink>
          </w:p>
        </w:tc>
      </w:tr>
      <w:tr>
        <w:tc>
          <w:tcPr/>
          <w:p>
            <w:pPr>
              <w:pStyle w:val="Compact"/>
            </w:pPr>
            <w:r>
              <w:t xml:space="preserve">Neural-ODE HTNLA</w:t>
            </w:r>
          </w:p>
        </w:tc>
        <w:tc>
          <w:tcPr/>
          <w:p>
            <w:pPr>
              <w:pStyle w:val="Compact"/>
            </w:pPr>
            <w:r>
              <w:rPr>
                <w:rStyle w:val="VerbatimChar"/>
              </w:rPr>
              <w:t xml:space="preserve">RESEARCH HYPOTHESIS</w:t>
            </w:r>
          </w:p>
        </w:tc>
        <w:tc>
          <w:tcPr/>
          <w:p>
            <w:pPr>
              <w:pStyle w:val="Compact"/>
            </w:pPr>
            <w:r>
              <w:t xml:space="preserve">Neural ODE framework exists; no Nexus differential model is established.</w:t>
            </w:r>
            <w:r>
              <w:t xml:space="preserve"> </w:t>
            </w:r>
            <w:hyperlink r:id="rId38">
              <w:r>
                <w:rPr>
                  <w:rStyle w:val="Hyperlink"/>
                </w:rPr>
                <w:t xml:space="preserve">[28]</w:t>
              </w:r>
            </w:hyperlink>
          </w:p>
        </w:tc>
      </w:tr>
      <w:tr>
        <w:tc>
          <w:tcPr/>
          <w:p>
            <w:pPr>
              <w:pStyle w:val="Compact"/>
            </w:pPr>
            <w:r>
              <w:t xml:space="preserve">Fisher–Rao curvature as working HTLA machinery</w:t>
            </w:r>
          </w:p>
        </w:tc>
        <w:tc>
          <w:tcPr/>
          <w:p>
            <w:pPr>
              <w:pStyle w:val="Compact"/>
            </w:pPr>
            <w:r>
              <w:rPr>
                <w:rStyle w:val="VerbatimChar"/>
              </w:rPr>
              <w:t xml:space="preserve">RESEARCH HYPOTHESIS</w:t>
            </w:r>
          </w:p>
        </w:tc>
        <w:tc>
          <w:tcPr/>
          <w:p>
            <w:pPr>
              <w:pStyle w:val="Compact"/>
            </w:pPr>
            <w:r>
              <w:t xml:space="preserve">No load-bearing statistical manifold is specified in the supplied subsystem scope. fileciteturn0file0</w:t>
            </w:r>
          </w:p>
        </w:tc>
      </w:tr>
      <w:tr>
        <w:tc>
          <w:tcPr/>
          <w:p>
            <w:pPr>
              <w:pStyle w:val="Compact"/>
            </w:pPr>
            <w:r>
              <w:t xml:space="preserve">Spacetime/Einstein-equation correspondence</w:t>
            </w:r>
          </w:p>
        </w:tc>
        <w:tc>
          <w:tcPr/>
          <w:p>
            <w:pPr>
              <w:pStyle w:val="Compact"/>
            </w:pPr>
            <w:r>
              <w:rPr>
                <w:rStyle w:val="VerbatimChar"/>
              </w:rPr>
              <w:t xml:space="preserve">RESEARCH HYPOTHESIS</w:t>
            </w:r>
          </w:p>
        </w:tc>
        <w:tc>
          <w:tcPr/>
          <w:p>
            <w:pPr>
              <w:pStyle w:val="Compact"/>
            </w:pPr>
            <w:r>
              <w:t xml:space="preserve">Heuristic only; no physical derivation is supported by the direct-sum calculus or supplied project material. fileciteturn0file0</w:t>
            </w:r>
          </w:p>
        </w:tc>
      </w:tr>
      <w:tr>
        <w:tc>
          <w:tcPr/>
          <w:p>
            <w:pPr>
              <w:pStyle w:val="Compact"/>
            </w:pPr>
            <w:r>
              <w:t xml:space="preserve">Nexus quinary alphabet, bit-plane constraints, reference occupancy wall, and partial-unbind states</w:t>
            </w:r>
          </w:p>
        </w:tc>
        <w:tc>
          <w:tcPr/>
          <w:p>
            <w:pPr>
              <w:pStyle w:val="Compact"/>
            </w:pPr>
            <w:r>
              <w:rPr>
                <w:rStyle w:val="VerbatimChar"/>
              </w:rPr>
              <w:t xml:space="preserve">APPLICATION-SPECIFIC</w:t>
            </w:r>
            <w:r>
              <w:t xml:space="preserve"> </w:t>
            </w:r>
            <w:r>
              <w:t xml:space="preserve">at the level of this review</w:t>
            </w:r>
          </w:p>
        </w:tc>
        <w:tc>
          <w:tcPr/>
          <w:p>
            <w:pPr>
              <w:pStyle w:val="Compact"/>
            </w:pPr>
            <w:r>
              <w:t xml:space="preserve">Supplied as Nexus architecture; runtime verification artifacts were not attached. fileciteturn0file0</w:t>
            </w:r>
          </w:p>
        </w:tc>
      </w:tr>
      <w:tr>
        <w:tc>
          <w:tcPr/>
          <w:p>
            <w:pPr>
              <w:pStyle w:val="Compact"/>
            </w:pPr>
            <w:r>
              <w:t xml:space="preserve">Circular-convolution-plus-saturating binding as current Nexus binding</w:t>
            </w:r>
          </w:p>
        </w:tc>
        <w:tc>
          <w:tcPr/>
          <w:p>
            <w:pPr>
              <w:pStyle w:val="Compact"/>
            </w:pPr>
            <w:r>
              <w:rPr>
                <w:rStyle w:val="VerbatimChar"/>
              </w:rPr>
              <w:t xml:space="preserve">HISTORICAL/SUPERSEDED</w:t>
            </w:r>
          </w:p>
        </w:tc>
        <w:tc>
          <w:tcPr/>
          <w:p>
            <w:pPr>
              <w:pStyle w:val="Compact"/>
            </w:pPr>
            <w:r>
              <w:t xml:space="preserve">Explicitly superseded in supplied architecture. fileciteturn0file0</w:t>
            </w:r>
          </w:p>
        </w:tc>
      </w:tr>
      <w:tr>
        <w:tc>
          <w:tcPr/>
          <w:p>
            <w:pPr>
              <w:pStyle w:val="Compact"/>
            </w:pPr>
            <w:r>
              <w:t xml:space="preserve">Unmeasured benchmark table</w:t>
            </w:r>
          </w:p>
        </w:tc>
        <w:tc>
          <w:tcPr/>
          <w:p>
            <w:pPr>
              <w:pStyle w:val="Compact"/>
            </w:pPr>
            <w:r>
              <w:t xml:space="preserve">Remove</w:t>
            </w:r>
          </w:p>
        </w:tc>
        <w:tc>
          <w:tcPr/>
          <w:p>
            <w:pPr>
              <w:pStyle w:val="Compact"/>
            </w:pPr>
            <w:r>
              <w:t xml:space="preserve">The supplied specification identifies the values as not arising from actual runs. fileciteturn0file0</w:t>
            </w:r>
          </w:p>
        </w:tc>
      </w:tr>
      <w:tr>
        <w:tc>
          <w:tcPr/>
          <w:p>
            <w:pPr>
              <w:pStyle w:val="Compact"/>
            </w:pPr>
            <w:r>
              <w:t xml:space="preserve">Self-citation to an HTLA draft as evidence for HTLA</w:t>
            </w:r>
          </w:p>
        </w:tc>
        <w:tc>
          <w:tcPr/>
          <w:p>
            <w:pPr>
              <w:pStyle w:val="Compact"/>
            </w:pPr>
            <w:r>
              <w:t xml:space="preserve">Remove</w:t>
            </w:r>
          </w:p>
        </w:tc>
        <w:tc>
          <w:tcPr/>
          <w:p>
            <w:pPr>
              <w:pStyle w:val="Compact"/>
            </w:pPr>
            <w:r>
              <w:t xml:space="preserve">Circular evidence provides no independent support. fileciteturn0file0</w:t>
            </w:r>
          </w:p>
        </w:tc>
      </w:tr>
    </w:tbl>
    <w:p>
      <w:pPr>
        <w:pStyle w:val="BodyText"/>
      </w:pPr>
      <w:r>
        <w:t xml:space="preserve">The replacement strategy follows directly from this audit. The abstract should say what HTLA</w:t>
      </w:r>
      <w:r>
        <w:t xml:space="preserve"> </w:t>
      </w:r>
      <w:r>
        <w:rPr>
          <w:b/>
          <w:bCs/>
        </w:rPr>
        <w:t xml:space="preserve">is</w:t>
      </w:r>
      <w:r>
        <w:t xml:space="preserve">—a labeled direct-sum and block-operator calculus with Nexus-specific epistemic contracts—rather than advertise significance. The opening prior-art section should make clear that named axes, direct sums, block matrices, HDC binding, JL projections, SVD compression, and concentration inequalities already have substantial literatures. The mathematical core should then proceed from direct sums to projections, Peirce blocks, weighted similarities, rectangular maps, distortion contracts, and block compression. The category discussion should be reduced to the ringoid observation unless an actual coupling-graph restriction becomes part of the implementation. The nonlinear boundary should explicitly hand off to HTNLA. The implementation section should include only code that is exercised by a reproducible test. Speculative material should come last, with every item individually tagged. This ordering makes the working subsystem usable even if every speculative appendix is deleted.</w:t>
      </w:r>
    </w:p>
    <w:p>
      <w:pPr>
        <w:pStyle w:val="BodyText"/>
      </w:pPr>
      <w:r>
        <w:t xml:space="preserve">There are several methodological limitations. The search establishes nearby prior art and resolves the named open questions, but a literature search cannot prove that no paper anywhere has independently assembled exactly the same software semantics. The strongest defensible distinctness claim is therefore comparative:</w:t>
      </w:r>
      <w:r>
        <w:t xml:space="preserve"> </w:t>
      </w:r>
      <w:r>
        <w:rPr>
          <w:b/>
          <w:bCs/>
        </w:rPr>
        <w:t xml:space="preserve">the reviewed close prior art does not combine the same direct-sum ABI, Nexus quinary representation contract, typed missingness, and explicit four-state recoverability interface in the form described by the supplied specification</w:t>
      </w:r>
      <w:r>
        <w:t xml:space="preserve">.</w:t>
      </w:r>
      <w:r>
        <w:t xml:space="preserve"> </w:t>
      </w:r>
      <w:hyperlink r:id="rId10">
        <w:r>
          <w:rPr>
            <w:rStyle w:val="Hyperlink"/>
          </w:rPr>
          <w:t xml:space="preserve">[29]</w:t>
        </w:r>
      </w:hyperlink>
      <w:r>
        <w:t xml:space="preserve"> </w:t>
      </w:r>
      <w:r>
        <w:t xml:space="preserve">That claim should remain scoped to the surveyed literature rather than expanded into a universal priority assertion.</w:t>
      </w:r>
    </w:p>
    <w:p>
      <w:pPr>
        <w:pStyle w:val="BodyText"/>
      </w:pPr>
      <w:r>
        <w:t xml:space="preserve">Likewise, the code execution in this report verifies the corrected example and a self-contained replacement</w:t>
      </w:r>
      <w:r>
        <w:t xml:space="preserve"> </w:t>
      </w:r>
      <w:r>
        <w:rPr>
          <w:rStyle w:val="VerbatimChar"/>
        </w:rPr>
        <w:t xml:space="preserve">BlockOperator</w:t>
      </w:r>
      <w:r>
        <w:t xml:space="preserve"> </w:t>
      </w:r>
      <w:r>
        <w:t xml:space="preserve">test, not the unseen Nexus repository. The existing project implementation should not be tagged</w:t>
      </w:r>
      <w:r>
        <w:t xml:space="preserve"> </w:t>
      </w:r>
      <w:r>
        <w:rPr>
          <w:rStyle w:val="VerbatimChar"/>
        </w:rPr>
        <w:t xml:space="preserve">VERIFIED</w:t>
      </w:r>
      <w:r>
        <w:t xml:space="preserve"> </w:t>
      </w:r>
      <w:r>
        <w:t xml:space="preserve">on the strength of this stand-alone artifact alone. The correct next stage is to apply the same tests directly to the repository revision that will ship with the replacement S8 document, preserve the environment and commit identifier, and make those outputs the manuscript’s code pointers. Because the actual draft and companion chapter were not supplied, a final replacement pass must additionally compare every retained equation and paragraph against the higher-rigor companion treatment before publication. fileciteturn0file0</w:t>
      </w:r>
    </w:p>
    <w:p>
      <w:pPr>
        <w:pStyle w:val="BodyText"/>
      </w:pPr>
      <w:r>
        <w:rPr>
          <w:b/>
          <w:bCs/>
        </w:rPr>
        <w:t xml:space="preserve">Primary and official source URLs used in the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URL</w:t>
            </w:r>
          </w:p>
        </w:tc>
      </w:tr>
      <w:tr>
        <w:tc>
          <w:tcPr/>
          <w:p>
            <w:pPr>
              <w:pStyle w:val="Compact"/>
            </w:pPr>
            <w:r>
              <w:t xml:space="preserve">Chiang, Rush &amp; Barak,</w:t>
            </w:r>
            <w:r>
              <w:t xml:space="preserve"> </w:t>
            </w:r>
            <w:r>
              <w:rPr>
                <w:i/>
                <w:iCs/>
              </w:rPr>
              <w:t xml:space="preserve">Named Tensor Notation</w:t>
            </w:r>
          </w:p>
        </w:tc>
        <w:tc>
          <w:tcPr/>
          <w:p>
            <w:pPr>
              <w:pStyle w:val="Compact"/>
            </w:pPr>
            <w:r>
              <w:t xml:space="preserve">https://arxiv.org/abs/2102.13196</w:t>
            </w:r>
          </w:p>
        </w:tc>
      </w:tr>
      <w:tr>
        <w:tc>
          <w:tcPr/>
          <w:p>
            <w:pPr>
              <w:pStyle w:val="Compact"/>
            </w:pPr>
            <w:r>
              <w:t xml:space="preserve">Crescenzi,</w:t>
            </w:r>
            <w:r>
              <w:t xml:space="preserve"> </w:t>
            </w:r>
            <w:r>
              <w:rPr>
                <w:i/>
                <w:iCs/>
              </w:rPr>
              <w:t xml:space="preserve">Towards a Categorical Foundation of Deep Learning: A Survey</w:t>
            </w:r>
          </w:p>
        </w:tc>
        <w:tc>
          <w:tcPr/>
          <w:p>
            <w:pPr>
              <w:pStyle w:val="Compact"/>
            </w:pPr>
            <w:r>
              <w:t xml:space="preserve">https://arxiv.org/abs/2410.05353</w:t>
            </w:r>
          </w:p>
        </w:tc>
      </w:tr>
      <w:tr>
        <w:tc>
          <w:tcPr/>
          <w:p>
            <w:pPr>
              <w:pStyle w:val="Compact"/>
            </w:pPr>
            <w:r>
              <w:t xml:space="preserve">Mitchell,</w:t>
            </w:r>
            <w:r>
              <w:t xml:space="preserve"> </w:t>
            </w:r>
            <w:r>
              <w:rPr>
                <w:i/>
                <w:iCs/>
              </w:rPr>
              <w:t xml:space="preserve">Rings with Several Objects</w:t>
            </w:r>
          </w:p>
        </w:tc>
        <w:tc>
          <w:tcPr/>
          <w:p>
            <w:pPr>
              <w:pStyle w:val="Compact"/>
            </w:pPr>
            <w:r>
              <w:t xml:space="preserve">https://doi.org/10.1016/0001-8708(72)90002-3</w:t>
            </w:r>
          </w:p>
        </w:tc>
      </w:tr>
      <w:tr>
        <w:tc>
          <w:tcPr/>
          <w:p>
            <w:pPr>
              <w:pStyle w:val="Compact"/>
            </w:pPr>
            <w:r>
              <w:t xml:space="preserve">Anh, Birkenmeier &amp; van Wyk,</w:t>
            </w:r>
            <w:r>
              <w:t xml:space="preserve"> </w:t>
            </w:r>
            <w:r>
              <w:rPr>
                <w:i/>
                <w:iCs/>
              </w:rPr>
              <w:t xml:space="preserve">Idempotents and structures of rings</w:t>
            </w:r>
          </w:p>
        </w:tc>
        <w:tc>
          <w:tcPr/>
          <w:p>
            <w:pPr>
              <w:pStyle w:val="Compact"/>
            </w:pPr>
            <w:r>
              <w:t xml:space="preserve">https://doi.org/10.1080/03081087.2015.1134429</w:t>
            </w:r>
          </w:p>
        </w:tc>
      </w:tr>
      <w:tr>
        <w:tc>
          <w:tcPr/>
          <w:p>
            <w:pPr>
              <w:pStyle w:val="Compact"/>
            </w:pPr>
            <w:r>
              <w:t xml:space="preserve">Kanerva,</w:t>
            </w:r>
            <w:r>
              <w:t xml:space="preserve"> </w:t>
            </w:r>
            <w:r>
              <w:rPr>
                <w:i/>
                <w:iCs/>
              </w:rPr>
              <w:t xml:space="preserve">Hyperdimensional Computing: An Introduction to Computing in Distributed Representation with High-Dimensional Random Vectors</w:t>
            </w:r>
          </w:p>
        </w:tc>
        <w:tc>
          <w:tcPr/>
          <w:p>
            <w:pPr>
              <w:pStyle w:val="Compact"/>
            </w:pPr>
            <w:r>
              <w:t xml:space="preserve">https://doi.org/10.1007/s12559-009-9009-8</w:t>
            </w:r>
          </w:p>
        </w:tc>
      </w:tr>
      <w:tr>
        <w:tc>
          <w:tcPr/>
          <w:p>
            <w:pPr>
              <w:pStyle w:val="Compact"/>
            </w:pPr>
            <w:r>
              <w:t xml:space="preserve">Plate,</w:t>
            </w:r>
            <w:r>
              <w:t xml:space="preserve"> </w:t>
            </w:r>
            <w:r>
              <w:rPr>
                <w:i/>
                <w:iCs/>
              </w:rPr>
              <w:t xml:space="preserve">Holographic Reduced Representation: Distributed Representation for Cognitive Structures</w:t>
            </w:r>
          </w:p>
        </w:tc>
        <w:tc>
          <w:tcPr/>
          <w:p>
            <w:pPr>
              <w:pStyle w:val="Compact"/>
            </w:pPr>
            <w:r>
              <w:t xml:space="preserve">https://press.uchicago.edu/ucp/books/book/distributed/H/bo3643252.html</w:t>
            </w:r>
          </w:p>
        </w:tc>
      </w:tr>
      <w:tr>
        <w:tc>
          <w:tcPr/>
          <w:p>
            <w:pPr>
              <w:pStyle w:val="Compact"/>
            </w:pPr>
            <w:r>
              <w:t xml:space="preserve">Schlegel, Neubert &amp; Protzel,</w:t>
            </w:r>
            <w:r>
              <w:t xml:space="preserve"> </w:t>
            </w:r>
            <w:r>
              <w:rPr>
                <w:i/>
                <w:iCs/>
              </w:rPr>
              <w:t xml:space="preserve">A comparison of Vector Symbolic Architectures</w:t>
            </w:r>
          </w:p>
        </w:tc>
        <w:tc>
          <w:tcPr/>
          <w:p>
            <w:pPr>
              <w:pStyle w:val="Compact"/>
            </w:pPr>
            <w:r>
              <w:t xml:space="preserve">https://arxiv.org/abs/2001.11797</w:t>
            </w:r>
          </w:p>
        </w:tc>
      </w:tr>
      <w:tr>
        <w:tc>
          <w:tcPr/>
          <w:p>
            <w:pPr>
              <w:pStyle w:val="Compact"/>
            </w:pPr>
            <w:r>
              <w:t xml:space="preserve">xarray labeled-array documentation</w:t>
            </w:r>
          </w:p>
        </w:tc>
        <w:tc>
          <w:tcPr/>
          <w:p>
            <w:pPr>
              <w:pStyle w:val="Compact"/>
            </w:pPr>
            <w:r>
              <w:t xml:space="preserve">https://docs.xarray.dev/en/latest/user-guide/data-structures.html</w:t>
            </w:r>
          </w:p>
        </w:tc>
      </w:tr>
      <w:tr>
        <w:tc>
          <w:tcPr/>
          <w:p>
            <w:pPr>
              <w:pStyle w:val="Compact"/>
            </w:pPr>
            <w:r>
              <w:t xml:space="preserve">Pint NumPy/unit-aware computation documentation</w:t>
            </w:r>
          </w:p>
        </w:tc>
        <w:tc>
          <w:tcPr/>
          <w:p>
            <w:pPr>
              <w:pStyle w:val="Compact"/>
            </w:pPr>
            <w:r>
              <w:t xml:space="preserve">https://pint.readthedocs.io/en/stable/user/numpy.html</w:t>
            </w:r>
          </w:p>
        </w:tc>
      </w:tr>
      <w:tr>
        <w:tc>
          <w:tcPr/>
          <w:p>
            <w:pPr>
              <w:pStyle w:val="Compact"/>
            </w:pPr>
            <w:r>
              <w:t xml:space="preserve">Johnson &amp; Lindenstrauss,</w:t>
            </w:r>
            <w:r>
              <w:t xml:space="preserve"> </w:t>
            </w:r>
            <w:r>
              <w:rPr>
                <w:i/>
                <w:iCs/>
              </w:rPr>
              <w:t xml:space="preserve">Extensions of Lipschitz mappings into a Hilbert space</w:t>
            </w:r>
          </w:p>
        </w:tc>
        <w:tc>
          <w:tcPr/>
          <w:p>
            <w:pPr>
              <w:pStyle w:val="Compact"/>
            </w:pPr>
            <w:r>
              <w:t xml:space="preserve">https://doi.org/10.1090/conm/026/737400</w:t>
            </w:r>
          </w:p>
        </w:tc>
      </w:tr>
      <w:tr>
        <w:tc>
          <w:tcPr/>
          <w:p>
            <w:pPr>
              <w:pStyle w:val="Compact"/>
            </w:pPr>
            <w:r>
              <w:t xml:space="preserve">Golub, Hoffman &amp; Stewart, Eckart–Young–Mirsky generalization</w:t>
            </w:r>
          </w:p>
        </w:tc>
        <w:tc>
          <w:tcPr/>
          <w:p>
            <w:pPr>
              <w:pStyle w:val="Compact"/>
            </w:pPr>
            <w:r>
              <w:t xml:space="preserve">https://doi.org/10.1016/0024-3795(87)90114-5</w:t>
            </w:r>
          </w:p>
        </w:tc>
      </w:tr>
      <w:tr>
        <w:tc>
          <w:tcPr/>
          <w:p>
            <w:pPr>
              <w:pStyle w:val="Compact"/>
            </w:pPr>
            <w:r>
              <w:t xml:space="preserve">Rudelson &amp; Vershynin,</w:t>
            </w:r>
            <w:r>
              <w:t xml:space="preserve"> </w:t>
            </w:r>
            <w:r>
              <w:rPr>
                <w:i/>
                <w:iCs/>
              </w:rPr>
              <w:t xml:space="preserve">Hanson-Wright inequality and sub-gaussian concentration</w:t>
            </w:r>
          </w:p>
        </w:tc>
        <w:tc>
          <w:tcPr/>
          <w:p>
            <w:pPr>
              <w:pStyle w:val="Compact"/>
            </w:pPr>
            <w:r>
              <w:t xml:space="preserve">https://doi.org/10.1214/ECP.v18-2865</w:t>
            </w:r>
          </w:p>
        </w:tc>
      </w:tr>
      <w:tr>
        <w:tc>
          <w:tcPr/>
          <w:p>
            <w:pPr>
              <w:pStyle w:val="Compact"/>
            </w:pPr>
            <w:r>
              <w:t xml:space="preserve">Götze, Sambale &amp; Sinulis,</w:t>
            </w:r>
            <w:r>
              <w:t xml:space="preserve"> </w:t>
            </w:r>
            <m:oMath>
              <m:r>
                <m:t>α</m:t>
              </m:r>
            </m:oMath>
            <w:r>
              <w:t xml:space="preserve">-sub-exponential polynomial concentration</w:t>
            </w:r>
          </w:p>
        </w:tc>
        <w:tc>
          <w:tcPr/>
          <w:p>
            <w:pPr>
              <w:pStyle w:val="Compact"/>
            </w:pPr>
            <w:r>
              <w:t xml:space="preserve">https://arxiv.org/abs/1903.05964</w:t>
            </w:r>
          </w:p>
        </w:tc>
      </w:tr>
      <w:tr>
        <w:tc>
          <w:tcPr/>
          <w:p>
            <w:pPr>
              <w:pStyle w:val="Compact"/>
            </w:pPr>
            <w:r>
              <w:t xml:space="preserve">Shazeer et al.,</w:t>
            </w:r>
            <w:r>
              <w:t xml:space="preserve"> </w:t>
            </w:r>
            <w:r>
              <w:rPr>
                <w:i/>
                <w:iCs/>
              </w:rPr>
              <w:t xml:space="preserve">The Sparsely-Gated Mixture-of-Experts Layer</w:t>
            </w:r>
          </w:p>
        </w:tc>
        <w:tc>
          <w:tcPr/>
          <w:p>
            <w:pPr>
              <w:pStyle w:val="Compact"/>
            </w:pPr>
            <w:r>
              <w:t xml:space="preserve">https://arxiv.org/abs/1701.06538</w:t>
            </w:r>
          </w:p>
        </w:tc>
      </w:tr>
      <w:tr>
        <w:tc>
          <w:tcPr/>
          <w:p>
            <w:pPr>
              <w:pStyle w:val="Compact"/>
            </w:pPr>
            <w:r>
              <w:t xml:space="preserve">Fedus, Zoph &amp; Shazeer,</w:t>
            </w:r>
            <w:r>
              <w:t xml:space="preserve"> </w:t>
            </w:r>
            <w:r>
              <w:rPr>
                <w:i/>
                <w:iCs/>
              </w:rPr>
              <w:t xml:space="preserve">Switch Transformers</w:t>
            </w:r>
          </w:p>
        </w:tc>
        <w:tc>
          <w:tcPr/>
          <w:p>
            <w:pPr>
              <w:pStyle w:val="Compact"/>
            </w:pPr>
            <w:r>
              <w:t xml:space="preserve">https://arxiv.org/abs/2101.03961</w:t>
            </w:r>
          </w:p>
        </w:tc>
      </w:tr>
      <w:tr>
        <w:tc>
          <w:tcPr/>
          <w:p>
            <w:pPr>
              <w:pStyle w:val="Compact"/>
            </w:pPr>
            <w:r>
              <w:t xml:space="preserve">Gilyén, Su, Low &amp; Wiebe, quantum singular-value transformation</w:t>
            </w:r>
          </w:p>
        </w:tc>
        <w:tc>
          <w:tcPr/>
          <w:p>
            <w:pPr>
              <w:pStyle w:val="Compact"/>
            </w:pPr>
            <w:r>
              <w:t xml:space="preserve">https://ir.cwi.nl/pub/28780/</w:t>
            </w:r>
          </w:p>
        </w:tc>
      </w:tr>
      <w:tr>
        <w:tc>
          <w:tcPr/>
          <w:p>
            <w:pPr>
              <w:pStyle w:val="Compact"/>
            </w:pPr>
            <w:r>
              <w:t xml:space="preserve">Low &amp; Chuang,</w:t>
            </w:r>
            <w:r>
              <w:t xml:space="preserve"> </w:t>
            </w:r>
            <w:r>
              <w:rPr>
                <w:i/>
                <w:iCs/>
              </w:rPr>
              <w:t xml:space="preserve">Hamiltonian Simulation by Qubitization</w:t>
            </w:r>
          </w:p>
        </w:tc>
        <w:tc>
          <w:tcPr/>
          <w:p>
            <w:pPr>
              <w:pStyle w:val="Compact"/>
            </w:pPr>
            <w:r>
              <w:t xml:space="preserve">https://quantum-journal.org/papers/q-2019-07-12-163/</w:t>
            </w:r>
          </w:p>
        </w:tc>
      </w:tr>
      <w:tr>
        <w:tc>
          <w:tcPr/>
          <w:p>
            <w:pPr>
              <w:pStyle w:val="Compact"/>
            </w:pPr>
            <w:r>
              <w:t xml:space="preserve">Carlsson &amp; de Silva,</w:t>
            </w:r>
            <w:r>
              <w:t xml:space="preserve"> </w:t>
            </w:r>
            <w:r>
              <w:rPr>
                <w:i/>
                <w:iCs/>
              </w:rPr>
              <w:t xml:space="preserve">Zigzag Persistence</w:t>
            </w:r>
          </w:p>
        </w:tc>
        <w:tc>
          <w:tcPr/>
          <w:p>
            <w:pPr>
              <w:pStyle w:val="Compact"/>
            </w:pPr>
            <w:r>
              <w:t xml:space="preserve">https://link.springer.com/article/10.1007/s10208-010-9066-0</w:t>
            </w:r>
          </w:p>
        </w:tc>
      </w:tr>
      <w:tr>
        <w:tc>
          <w:tcPr/>
          <w:p>
            <w:pPr>
              <w:pStyle w:val="Compact"/>
            </w:pPr>
            <w:r>
              <w:t xml:space="preserve">Cohen et al.,</w:t>
            </w:r>
            <w:r>
              <w:t xml:space="preserve"> </w:t>
            </w:r>
            <w:r>
              <w:rPr>
                <w:i/>
                <w:iCs/>
              </w:rPr>
              <w:t xml:space="preserve">Gauge Equivariant Convolutional Networks and the Icosahedral CNN</w:t>
            </w:r>
          </w:p>
        </w:tc>
        <w:tc>
          <w:tcPr/>
          <w:p>
            <w:pPr>
              <w:pStyle w:val="Compact"/>
            </w:pPr>
            <w:r>
              <w:t xml:space="preserve">https://proceedings.mlr.press/v97/cohen19d.html</w:t>
            </w:r>
          </w:p>
        </w:tc>
      </w:tr>
      <w:tr>
        <w:tc>
          <w:tcPr/>
          <w:p>
            <w:pPr>
              <w:pStyle w:val="Compact"/>
            </w:pPr>
            <w:r>
              <w:t xml:space="preserve">Chen et al.,</w:t>
            </w:r>
            <w:r>
              <w:t xml:space="preserve"> </w:t>
            </w:r>
            <w:r>
              <w:rPr>
                <w:i/>
                <w:iCs/>
              </w:rPr>
              <w:t xml:space="preserve">Neural Ordinary Differential Equations</w:t>
            </w:r>
          </w:p>
        </w:tc>
        <w:tc>
          <w:tcPr/>
          <w:p>
            <w:pPr>
              <w:pStyle w:val="Compact"/>
            </w:pPr>
            <w:r>
              <w:t xml:space="preserve">https://arxiv.org/abs/1806.07366</w:t>
            </w:r>
          </w:p>
        </w:tc>
      </w:tr>
    </w:tbl>
    <w:p>
      <w:pPr>
        <w:pStyle w:val="BodyText"/>
      </w:pPr>
      <w:r>
        <w:t xml:space="preserve">The evidence therefore supports replacing S8 with a paper whose strongest claims are also its simplest ones: a direct-sum state model, Peirce-organized block maps, precisely qualified similarity structures, explicit contracts for information loss, standard and correctly cited dimensionality/compression tools, and executable software semantics. The parts that survive this discipline form a coherent subsystem paper; the parts that do not are either removable or cleanly isolated behind the existing</w:t>
      </w:r>
      <w:r>
        <w:t xml:space="preserve"> </w:t>
      </w:r>
      <w:r>
        <w:rPr>
          <w:rStyle w:val="VerbatimChar"/>
        </w:rPr>
        <w:t xml:space="preserve">RESEARCH HYPOTHESIS</w:t>
      </w:r>
      <w:r>
        <w:t xml:space="preserve"> </w:t>
      </w:r>
      <w:r>
        <w:t xml:space="preserve">status.</w:t>
      </w:r>
    </w:p>
    <w:bookmarkEnd w:id="41"/>
    <w:bookmarkEnd w:id="42"/>
    <w:bookmarkEnd w:id="43"/>
    <w:p>
      <w:r>
        <w:pict>
          <v:rect style="width:0;height:1.5pt" o:hralign="center" o:hrstd="t" o:hr="t"/>
        </w:pict>
      </w:r>
    </w:p>
    <w:bookmarkStart w:id="44" w:name="citations"/>
    <w:p>
      <w:pPr>
        <w:pStyle w:val="FirstParagraph"/>
      </w:pPr>
      <w:hyperlink r:id="rId10">
        <w:r>
          <w:rPr>
            <w:rStyle w:val="Hyperlink"/>
          </w:rPr>
          <w:t xml:space="preserve">[1]</w:t>
        </w:r>
      </w:hyperlink>
      <w:r>
        <w:t xml:space="preserve"> </w:t>
      </w:r>
      <w:hyperlink r:id="rId10">
        <w:r>
          <w:rPr>
            <w:rStyle w:val="Hyperlink"/>
          </w:rPr>
          <w:t xml:space="preserve">[9]</w:t>
        </w:r>
      </w:hyperlink>
      <w:r>
        <w:t xml:space="preserve"> </w:t>
      </w:r>
      <w:hyperlink r:id="rId10">
        <w:r>
          <w:rPr>
            <w:rStyle w:val="Hyperlink"/>
          </w:rPr>
          <w:t xml:space="preserve">[20]</w:t>
        </w:r>
      </w:hyperlink>
      <w:r>
        <w:t xml:space="preserve"> </w:t>
      </w:r>
      <w:hyperlink r:id="rId10">
        <w:r>
          <w:rPr>
            <w:rStyle w:val="Hyperlink"/>
          </w:rPr>
          <w:t xml:space="preserve">[29]</w:t>
        </w:r>
      </w:hyperlink>
      <w:r>
        <w:t xml:space="preserve"> </w:t>
      </w:r>
      <w:r>
        <w:t xml:space="preserve">https://arxiv.org/abs/2102.13196</w:t>
      </w:r>
    </w:p>
    <w:p>
      <w:pPr>
        <w:pStyle w:val="BodyText"/>
      </w:pPr>
      <w:hyperlink r:id="rId10">
        <w:r>
          <w:rPr>
            <w:rStyle w:val="Hyperlink"/>
          </w:rPr>
          <w:t xml:space="preserve">https://arxiv.org/abs/2102.13196</w:t>
        </w:r>
      </w:hyperlink>
    </w:p>
    <w:p>
      <w:pPr>
        <w:pStyle w:val="BodyText"/>
      </w:pPr>
      <w:hyperlink r:id="rId11">
        <w:r>
          <w:rPr>
            <w:rStyle w:val="Hyperlink"/>
          </w:rPr>
          <w:t xml:space="preserve">[2]</w:t>
        </w:r>
      </w:hyperlink>
      <w:r>
        <w:t xml:space="preserve"> </w:t>
      </w:r>
      <w:hyperlink r:id="rId11">
        <w:r>
          <w:rPr>
            <w:rStyle w:val="Hyperlink"/>
          </w:rPr>
          <w:t xml:space="preserve">[8]</w:t>
        </w:r>
      </w:hyperlink>
      <w:r>
        <w:t xml:space="preserve"> </w:t>
      </w:r>
      <w:hyperlink r:id="rId11">
        <w:r>
          <w:rPr>
            <w:rStyle w:val="Hyperlink"/>
          </w:rPr>
          <w:t xml:space="preserve">[12]</w:t>
        </w:r>
      </w:hyperlink>
      <w:r>
        <w:t xml:space="preserve"> </w:t>
      </w:r>
      <w:r>
        <w:t xml:space="preserve">https://www.tandfonline.com/doi/full/10.1080/03081087.2015.1134429</w:t>
      </w:r>
    </w:p>
    <w:p>
      <w:pPr>
        <w:pStyle w:val="BodyText"/>
      </w:pPr>
      <w:hyperlink r:id="rId11">
        <w:r>
          <w:rPr>
            <w:rStyle w:val="Hyperlink"/>
          </w:rPr>
          <w:t xml:space="preserve">https://www.tandfonline.com/doi/full/10.1080/03081087.2015.1134429</w:t>
        </w:r>
      </w:hyperlink>
    </w:p>
    <w:p>
      <w:pPr>
        <w:pStyle w:val="BodyText"/>
      </w:pPr>
      <w:hyperlink r:id="rId14">
        <w:r>
          <w:rPr>
            <w:rStyle w:val="Hyperlink"/>
          </w:rPr>
          <w:t xml:space="preserve">[3]</w:t>
        </w:r>
      </w:hyperlink>
      <w:r>
        <w:t xml:space="preserve"> </w:t>
      </w:r>
      <w:hyperlink r:id="rId14">
        <w:r>
          <w:rPr>
            <w:rStyle w:val="Hyperlink"/>
          </w:rPr>
          <w:t xml:space="preserve">[24]</w:t>
        </w:r>
      </w:hyperlink>
      <w:r>
        <w:t xml:space="preserve"> </w:t>
      </w:r>
      <w:r>
        <w:t xml:space="preserve">https://arxiv.org/abs/1701.06538</w:t>
      </w:r>
    </w:p>
    <w:p>
      <w:pPr>
        <w:pStyle w:val="BodyText"/>
      </w:pPr>
      <w:hyperlink r:id="rId14">
        <w:r>
          <w:rPr>
            <w:rStyle w:val="Hyperlink"/>
          </w:rPr>
          <w:t xml:space="preserve">https://arxiv.org/abs/1701.06538</w:t>
        </w:r>
      </w:hyperlink>
    </w:p>
    <w:p>
      <w:pPr>
        <w:pStyle w:val="BodyText"/>
      </w:pPr>
      <w:hyperlink r:id="rId15">
        <w:r>
          <w:rPr>
            <w:rStyle w:val="Hyperlink"/>
          </w:rPr>
          <w:t xml:space="preserve">[4]</w:t>
        </w:r>
      </w:hyperlink>
      <w:r>
        <w:t xml:space="preserve"> </w:t>
      </w:r>
      <w:hyperlink r:id="rId15">
        <w:r>
          <w:rPr>
            <w:rStyle w:val="Hyperlink"/>
          </w:rPr>
          <w:t xml:space="preserve">[11]</w:t>
        </w:r>
      </w:hyperlink>
      <w:r>
        <w:t xml:space="preserve"> </w:t>
      </w:r>
      <w:r>
        <w:t xml:space="preserve">https://www.maths.tcd.ie/EMIS/journals/EJP-ECP/article/view/2865/0.html</w:t>
      </w:r>
    </w:p>
    <w:p>
      <w:pPr>
        <w:pStyle w:val="BodyText"/>
      </w:pPr>
      <w:hyperlink r:id="rId15">
        <w:r>
          <w:rPr>
            <w:rStyle w:val="Hyperlink"/>
          </w:rPr>
          <w:t xml:space="preserve">https://www.maths.tcd.ie/EMIS/journals/EJP-ECP/article/view/2865/0.html</w:t>
        </w:r>
      </w:hyperlink>
    </w:p>
    <w:p>
      <w:pPr>
        <w:pStyle w:val="BodyText"/>
      </w:pPr>
      <w:hyperlink r:id="rId16">
        <w:r>
          <w:rPr>
            <w:rStyle w:val="Hyperlink"/>
          </w:rPr>
          <w:t xml:space="preserve">[5]</w:t>
        </w:r>
      </w:hyperlink>
      <w:r>
        <w:t xml:space="preserve"> </w:t>
      </w:r>
      <w:hyperlink r:id="rId16">
        <w:r>
          <w:rPr>
            <w:rStyle w:val="Hyperlink"/>
          </w:rPr>
          <w:t xml:space="preserve">[26]</w:t>
        </w:r>
      </w:hyperlink>
      <w:r>
        <w:t xml:space="preserve"> </w:t>
      </w:r>
      <w:r>
        <w:t xml:space="preserve">https://arxiv.org/abs/1903.05964</w:t>
      </w:r>
    </w:p>
    <w:p>
      <w:pPr>
        <w:pStyle w:val="BodyText"/>
      </w:pPr>
      <w:hyperlink r:id="rId16">
        <w:r>
          <w:rPr>
            <w:rStyle w:val="Hyperlink"/>
          </w:rPr>
          <w:t xml:space="preserve">https://arxiv.org/abs/1903.05964</w:t>
        </w:r>
      </w:hyperlink>
    </w:p>
    <w:p>
      <w:pPr>
        <w:pStyle w:val="BodyText"/>
      </w:pPr>
      <w:hyperlink r:id="rId17">
        <w:r>
          <w:rPr>
            <w:rStyle w:val="Hyperlink"/>
          </w:rPr>
          <w:t xml:space="preserve">[6]</w:t>
        </w:r>
      </w:hyperlink>
      <w:r>
        <w:t xml:space="preserve"> </w:t>
      </w:r>
      <w:r>
        <w:t xml:space="preserve">https://ir.cwi.nl/pub/28780/</w:t>
      </w:r>
    </w:p>
    <w:p>
      <w:pPr>
        <w:pStyle w:val="BodyText"/>
      </w:pPr>
      <w:hyperlink r:id="rId17">
        <w:r>
          <w:rPr>
            <w:rStyle w:val="Hyperlink"/>
          </w:rPr>
          <w:t xml:space="preserve">https://ir.cwi.nl/pub/28780/</w:t>
        </w:r>
      </w:hyperlink>
    </w:p>
    <w:p>
      <w:pPr>
        <w:pStyle w:val="BodyText"/>
      </w:pPr>
      <w:hyperlink r:id="rId18">
        <w:r>
          <w:rPr>
            <w:rStyle w:val="Hyperlink"/>
          </w:rPr>
          <w:t xml:space="preserve">[7]</w:t>
        </w:r>
      </w:hyperlink>
      <w:r>
        <w:t xml:space="preserve"> </w:t>
      </w:r>
      <w:r>
        <w:t xml:space="preserve">https://link.springer.com/article/10.1007/s10208-010-9066-0</w:t>
      </w:r>
    </w:p>
    <w:p>
      <w:pPr>
        <w:pStyle w:val="BodyText"/>
      </w:pPr>
      <w:hyperlink r:id="rId18">
        <w:r>
          <w:rPr>
            <w:rStyle w:val="Hyperlink"/>
          </w:rPr>
          <w:t xml:space="preserve">https://link.springer.com/article/10.1007/s10208-010-9066-0</w:t>
        </w:r>
      </w:hyperlink>
    </w:p>
    <w:p>
      <w:pPr>
        <w:pStyle w:val="BodyText"/>
      </w:pPr>
      <w:hyperlink r:id="rId20">
        <w:r>
          <w:rPr>
            <w:rStyle w:val="Hyperlink"/>
          </w:rPr>
          <w:t xml:space="preserve">[10]</w:t>
        </w:r>
      </w:hyperlink>
      <w:r>
        <w:t xml:space="preserve"> </w:t>
      </w:r>
      <w:hyperlink r:id="rId20">
        <w:r>
          <w:rPr>
            <w:rStyle w:val="Hyperlink"/>
          </w:rPr>
          <w:t xml:space="preserve">[17]</w:t>
        </w:r>
      </w:hyperlink>
      <w:r>
        <w:t xml:space="preserve"> </w:t>
      </w:r>
      <w:r>
        <w:t xml:space="preserve">https://arxiv.org/abs/2001.11797</w:t>
      </w:r>
    </w:p>
    <w:p>
      <w:pPr>
        <w:pStyle w:val="BodyText"/>
      </w:pPr>
      <w:hyperlink r:id="rId20">
        <w:r>
          <w:rPr>
            <w:rStyle w:val="Hyperlink"/>
          </w:rPr>
          <w:t xml:space="preserve">https://arxiv.org/abs/2001.11797</w:t>
        </w:r>
      </w:hyperlink>
    </w:p>
    <w:p>
      <w:pPr>
        <w:pStyle w:val="BodyText"/>
      </w:pPr>
      <w:hyperlink r:id="rId22">
        <w:r>
          <w:rPr>
            <w:rStyle w:val="Hyperlink"/>
          </w:rPr>
          <w:t xml:space="preserve">[13]</w:t>
        </w:r>
      </w:hyperlink>
      <w:r>
        <w:t xml:space="preserve"> </w:t>
      </w:r>
      <w:r>
        <w:t xml:space="preserve">https://scispace.com/papers/a-counter-example-in-ring-theory-and-homological-algebra-3bjd5jr6li</w:t>
      </w:r>
    </w:p>
    <w:p>
      <w:pPr>
        <w:pStyle w:val="BodyText"/>
      </w:pPr>
      <w:hyperlink r:id="rId22">
        <w:r>
          <w:rPr>
            <w:rStyle w:val="Hyperlink"/>
          </w:rPr>
          <w:t xml:space="preserve">https://scispace.com/papers/a-counter-example-in-ring-theory-and-homological-algebra-3bjd5jr6li</w:t>
        </w:r>
      </w:hyperlink>
    </w:p>
    <w:p>
      <w:pPr>
        <w:pStyle w:val="BodyText"/>
      </w:pPr>
      <w:hyperlink r:id="rId23">
        <w:r>
          <w:rPr>
            <w:rStyle w:val="Hyperlink"/>
          </w:rPr>
          <w:t xml:space="preserve">[14]</w:t>
        </w:r>
      </w:hyperlink>
      <w:r>
        <w:t xml:space="preserve"> </w:t>
      </w:r>
      <w:r>
        <w:t xml:space="preserve">https://arxiv.org/abs/2410.05353</w:t>
      </w:r>
    </w:p>
    <w:p>
      <w:pPr>
        <w:pStyle w:val="BodyText"/>
      </w:pPr>
      <w:hyperlink r:id="rId23">
        <w:r>
          <w:rPr>
            <w:rStyle w:val="Hyperlink"/>
          </w:rPr>
          <w:t xml:space="preserve">https://arxiv.org/abs/2410.05353</w:t>
        </w:r>
      </w:hyperlink>
    </w:p>
    <w:p>
      <w:pPr>
        <w:pStyle w:val="BodyText"/>
      </w:pPr>
      <w:hyperlink r:id="rId24">
        <w:r>
          <w:rPr>
            <w:rStyle w:val="Hyperlink"/>
          </w:rPr>
          <w:t xml:space="preserve">[15]</w:t>
        </w:r>
      </w:hyperlink>
      <w:r>
        <w:t xml:space="preserve"> </w:t>
      </w:r>
      <w:r>
        <w:t xml:space="preserve">https://redwood.berkeley.edu/publications/</w:t>
      </w:r>
    </w:p>
    <w:p>
      <w:pPr>
        <w:pStyle w:val="BodyText"/>
      </w:pPr>
      <w:hyperlink r:id="rId24">
        <w:r>
          <w:rPr>
            <w:rStyle w:val="Hyperlink"/>
          </w:rPr>
          <w:t xml:space="preserve">https://redwood.berkeley.edu/publications/</w:t>
        </w:r>
      </w:hyperlink>
    </w:p>
    <w:p>
      <w:pPr>
        <w:pStyle w:val="BodyText"/>
      </w:pPr>
      <w:hyperlink r:id="rId25">
        <w:r>
          <w:rPr>
            <w:rStyle w:val="Hyperlink"/>
          </w:rPr>
          <w:t xml:space="preserve">[16]</w:t>
        </w:r>
      </w:hyperlink>
      <w:r>
        <w:t xml:space="preserve"> </w:t>
      </w:r>
      <w:r>
        <w:t xml:space="preserve">https://press.uchicago.edu/ucp/books/book/distributed/H/bo3643252.html</w:t>
      </w:r>
    </w:p>
    <w:p>
      <w:pPr>
        <w:pStyle w:val="BodyText"/>
      </w:pPr>
      <w:hyperlink r:id="rId25">
        <w:r>
          <w:rPr>
            <w:rStyle w:val="Hyperlink"/>
          </w:rPr>
          <w:t xml:space="preserve">https://press.uchicago.edu/ucp/books/book/distributed/H/bo3643252.html</w:t>
        </w:r>
      </w:hyperlink>
    </w:p>
    <w:p>
      <w:pPr>
        <w:pStyle w:val="BodyText"/>
      </w:pPr>
      <w:hyperlink r:id="rId26">
        <w:r>
          <w:rPr>
            <w:rStyle w:val="Hyperlink"/>
          </w:rPr>
          <w:t xml:space="preserve">[18]</w:t>
        </w:r>
      </w:hyperlink>
      <w:r>
        <w:t xml:space="preserve"> </w:t>
      </w:r>
      <w:r>
        <w:t xml:space="preserve">https://docs.xarray.dev/en/latest/user-guide/data-structures.html</w:t>
      </w:r>
    </w:p>
    <w:p>
      <w:pPr>
        <w:pStyle w:val="BodyText"/>
      </w:pPr>
      <w:hyperlink r:id="rId26">
        <w:r>
          <w:rPr>
            <w:rStyle w:val="Hyperlink"/>
          </w:rPr>
          <w:t xml:space="preserve">https://docs.xarray.dev/en/latest/user-guide/data-structures.html</w:t>
        </w:r>
      </w:hyperlink>
    </w:p>
    <w:p>
      <w:pPr>
        <w:pStyle w:val="BodyText"/>
      </w:pPr>
      <w:hyperlink r:id="rId27">
        <w:r>
          <w:rPr>
            <w:rStyle w:val="Hyperlink"/>
          </w:rPr>
          <w:t xml:space="preserve">[19]</w:t>
        </w:r>
      </w:hyperlink>
      <w:r>
        <w:t xml:space="preserve"> </w:t>
      </w:r>
      <w:r>
        <w:t xml:space="preserve">https://pint.readthedocs.io/en/stable/user/numpy.html</w:t>
      </w:r>
    </w:p>
    <w:p>
      <w:pPr>
        <w:pStyle w:val="BodyText"/>
      </w:pPr>
      <w:hyperlink r:id="rId27">
        <w:r>
          <w:rPr>
            <w:rStyle w:val="Hyperlink"/>
          </w:rPr>
          <w:t xml:space="preserve">https://pint.readthedocs.io/en/stable/user/numpy.html</w:t>
        </w:r>
      </w:hyperlink>
    </w:p>
    <w:p>
      <w:pPr>
        <w:pStyle w:val="BodyText"/>
      </w:pPr>
      <w:hyperlink r:id="rId29">
        <w:r>
          <w:rPr>
            <w:rStyle w:val="Hyperlink"/>
          </w:rPr>
          <w:t xml:space="preserve">[21]</w:t>
        </w:r>
      </w:hyperlink>
      <w:r>
        <w:t xml:space="preserve"> </w:t>
      </w:r>
      <w:r>
        <w:t xml:space="preserve">https://www.sciencedirect.com/science/article/pii/S0022404925002579</w:t>
      </w:r>
    </w:p>
    <w:p>
      <w:pPr>
        <w:pStyle w:val="BodyText"/>
      </w:pPr>
      <w:hyperlink r:id="rId29">
        <w:r>
          <w:rPr>
            <w:rStyle w:val="Hyperlink"/>
          </w:rPr>
          <w:t xml:space="preserve">https://www.sciencedirect.com/science/article/pii/S0022404925002579</w:t>
        </w:r>
      </w:hyperlink>
    </w:p>
    <w:p>
      <w:pPr>
        <w:pStyle w:val="BodyText"/>
      </w:pPr>
      <w:hyperlink r:id="rId30">
        <w:r>
          <w:rPr>
            <w:rStyle w:val="Hyperlink"/>
          </w:rPr>
          <w:t xml:space="preserve">[22]</w:t>
        </w:r>
      </w:hyperlink>
      <w:r>
        <w:t xml:space="preserve"> </w:t>
      </w:r>
      <w:r>
        <w:t xml:space="preserve">https://doi.org/10.1090/bull/1523</w:t>
      </w:r>
    </w:p>
    <w:p>
      <w:pPr>
        <w:pStyle w:val="BodyText"/>
      </w:pPr>
      <w:hyperlink r:id="rId30">
        <w:r>
          <w:rPr>
            <w:rStyle w:val="Hyperlink"/>
          </w:rPr>
          <w:t xml:space="preserve">https://doi.org/10.1090/bull/1523</w:t>
        </w:r>
      </w:hyperlink>
    </w:p>
    <w:p>
      <w:pPr>
        <w:pStyle w:val="BodyText"/>
      </w:pPr>
      <w:hyperlink r:id="rId31">
        <w:r>
          <w:rPr>
            <w:rStyle w:val="Hyperlink"/>
          </w:rPr>
          <w:t xml:space="preserve">[23]</w:t>
        </w:r>
      </w:hyperlink>
      <w:r>
        <w:t xml:space="preserve"> </w:t>
      </w:r>
      <w:r>
        <w:t xml:space="preserve">https://doi.org/10.1016/0024-3795%2887%2990114-5</w:t>
      </w:r>
    </w:p>
    <w:p>
      <w:pPr>
        <w:pStyle w:val="BodyText"/>
      </w:pPr>
      <w:hyperlink r:id="rId31">
        <w:r>
          <w:rPr>
            <w:rStyle w:val="Hyperlink"/>
          </w:rPr>
          <w:t xml:space="preserve">https://doi.org/10.1016/0024-3795%2887%2990114-5</w:t>
        </w:r>
      </w:hyperlink>
    </w:p>
    <w:p>
      <w:pPr>
        <w:pStyle w:val="BodyText"/>
      </w:pPr>
      <w:hyperlink r:id="rId36">
        <w:r>
          <w:rPr>
            <w:rStyle w:val="Hyperlink"/>
          </w:rPr>
          <w:t xml:space="preserve">[25]</w:t>
        </w:r>
      </w:hyperlink>
      <w:r>
        <w:t xml:space="preserve"> </w:t>
      </w:r>
      <w:r>
        <w:t xml:space="preserve">https://arxiv.org/abs/2101.03961</w:t>
      </w:r>
    </w:p>
    <w:p>
      <w:pPr>
        <w:pStyle w:val="BodyText"/>
      </w:pPr>
      <w:hyperlink r:id="rId36">
        <w:r>
          <w:rPr>
            <w:rStyle w:val="Hyperlink"/>
          </w:rPr>
          <w:t xml:space="preserve">https://arxiv.org/abs/2101.03961</w:t>
        </w:r>
      </w:hyperlink>
    </w:p>
    <w:p>
      <w:pPr>
        <w:pStyle w:val="BodyText"/>
      </w:pPr>
      <w:hyperlink r:id="rId37">
        <w:r>
          <w:rPr>
            <w:rStyle w:val="Hyperlink"/>
          </w:rPr>
          <w:t xml:space="preserve">[27]</w:t>
        </w:r>
      </w:hyperlink>
      <w:r>
        <w:t xml:space="preserve"> </w:t>
      </w:r>
      <w:r>
        <w:t xml:space="preserve">https://proceedings.mlr.press/v97/cohen19d.html</w:t>
      </w:r>
    </w:p>
    <w:p>
      <w:pPr>
        <w:pStyle w:val="BodyText"/>
      </w:pPr>
      <w:hyperlink r:id="rId37">
        <w:r>
          <w:rPr>
            <w:rStyle w:val="Hyperlink"/>
          </w:rPr>
          <w:t xml:space="preserve">https://proceedings.mlr.press/v97/cohen19d.html</w:t>
        </w:r>
      </w:hyperlink>
    </w:p>
    <w:p>
      <w:pPr>
        <w:pStyle w:val="BodyText"/>
      </w:pPr>
      <w:hyperlink r:id="rId38">
        <w:r>
          <w:rPr>
            <w:rStyle w:val="Hyperlink"/>
          </w:rPr>
          <w:t xml:space="preserve">[28]</w:t>
        </w:r>
      </w:hyperlink>
      <w:r>
        <w:t xml:space="preserve"> </w:t>
      </w:r>
      <w:r>
        <w:t xml:space="preserve">https://arxiv.org/abs/1806.07366</w:t>
      </w:r>
    </w:p>
    <w:p>
      <w:pPr>
        <w:pStyle w:val="BodyText"/>
      </w:pPr>
      <w:hyperlink r:id="rId38">
        <w:r>
          <w:rPr>
            <w:rStyle w:val="Hyperlink"/>
          </w:rPr>
          <w:t xml:space="preserve">https://arxiv.org/abs/1806.07366</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hyperlink" Id="rId14" Target="https://arxiv.org/abs/1701.06538" TargetMode="External" /><Relationship Type="http://schemas.openxmlformats.org/officeDocument/2006/relationships/hyperlink" Id="rId38" Target="https://arxiv.org/abs/1806.07366" TargetMode="External" /><Relationship Type="http://schemas.openxmlformats.org/officeDocument/2006/relationships/hyperlink" Id="rId16" Target="https://arxiv.org/abs/1903.05964" TargetMode="External" /><Relationship Type="http://schemas.openxmlformats.org/officeDocument/2006/relationships/hyperlink" Id="rId20" Target="https://arxiv.org/abs/2001.11797" TargetMode="External" /><Relationship Type="http://schemas.openxmlformats.org/officeDocument/2006/relationships/hyperlink" Id="rId36" Target="https://arxiv.org/abs/2101.03961" TargetMode="External" /><Relationship Type="http://schemas.openxmlformats.org/officeDocument/2006/relationships/hyperlink" Id="rId10" Target="https://arxiv.org/abs/2102.13196" TargetMode="External" /><Relationship Type="http://schemas.openxmlformats.org/officeDocument/2006/relationships/hyperlink" Id="rId23" Target="https://arxiv.org/abs/2410.05353" TargetMode="External" /><Relationship Type="http://schemas.openxmlformats.org/officeDocument/2006/relationships/hyperlink" Id="rId26" Target="https://docs.xarray.dev/en/latest/user-guide/data-structures.html" TargetMode="External" /><Relationship Type="http://schemas.openxmlformats.org/officeDocument/2006/relationships/hyperlink" Id="rId31" Target="https://doi.org/10.1016/0024-3795%2887%2990114-5" TargetMode="External" /><Relationship Type="http://schemas.openxmlformats.org/officeDocument/2006/relationships/hyperlink" Id="rId30" Target="https://doi.org/10.1090/bull/1523" TargetMode="External" /><Relationship Type="http://schemas.openxmlformats.org/officeDocument/2006/relationships/hyperlink" Id="rId17" Target="https://ir.cwi.nl/pub/28780/" TargetMode="External" /><Relationship Type="http://schemas.openxmlformats.org/officeDocument/2006/relationships/hyperlink" Id="rId18" Target="https://link.springer.com/article/10.1007/s10208-010-9066-0" TargetMode="External" /><Relationship Type="http://schemas.openxmlformats.org/officeDocument/2006/relationships/hyperlink" Id="rId27" Target="https://pint.readthedocs.io/en/stable/user/numpy.html" TargetMode="External" /><Relationship Type="http://schemas.openxmlformats.org/officeDocument/2006/relationships/hyperlink" Id="rId25" Target="https://press.uchicago.edu/ucp/books/book/distributed/H/bo3643252.html" TargetMode="External" /><Relationship Type="http://schemas.openxmlformats.org/officeDocument/2006/relationships/hyperlink" Id="rId37" Target="https://proceedings.mlr.press/v97/cohen19d.html" TargetMode="External" /><Relationship Type="http://schemas.openxmlformats.org/officeDocument/2006/relationships/hyperlink" Id="rId24" Target="https://redwood.berkeley.edu/publications/" TargetMode="External" /><Relationship Type="http://schemas.openxmlformats.org/officeDocument/2006/relationships/hyperlink" Id="rId22" Target="https://scispace.com/papers/a-counter-example-in-ring-theory-and-homological-algebra-3bjd5jr6li" TargetMode="External" /><Relationship Type="http://schemas.openxmlformats.org/officeDocument/2006/relationships/hyperlink" Id="rId15" Target="https://www.maths.tcd.ie/EMIS/journals/EJP-ECP/article/view/2865/0.html" TargetMode="External" /><Relationship Type="http://schemas.openxmlformats.org/officeDocument/2006/relationships/hyperlink" Id="rId29" Target="https://www.sciencedirect.com/science/article/pii/S0022404925002579" TargetMode="External" /><Relationship Type="http://schemas.openxmlformats.org/officeDocument/2006/relationships/hyperlink" Id="rId11" Target="https://www.tandfonline.com/doi/full/10.1080/03081087.2015.1134429" TargetMode="External" /><Relationship Type="http://schemas.openxmlformats.org/officeDocument/2006/relationships/hyperlink" Id="rId12" Target="sandbox:/mnt/data/htla_verification.py" TargetMode="External" /><Relationship Type="http://schemas.openxmlformats.org/officeDocument/2006/relationships/hyperlink" Id="rId13" Target="sandbox:/mnt/data/htla_verification_output.txt" TargetMode="External" /></Relationships>
</file>

<file path=word/_rels/footnotes.xml.rels><?xml version="1.0" encoding="UTF-8"?><Relationships xmlns="http://schemas.openxmlformats.org/package/2006/relationships"><Relationship Type="http://schemas.openxmlformats.org/officeDocument/2006/relationships/hyperlink" Id="rId14" Target="https://arxiv.org/abs/1701.06538" TargetMode="External" /><Relationship Type="http://schemas.openxmlformats.org/officeDocument/2006/relationships/hyperlink" Id="rId38" Target="https://arxiv.org/abs/1806.07366" TargetMode="External" /><Relationship Type="http://schemas.openxmlformats.org/officeDocument/2006/relationships/hyperlink" Id="rId16" Target="https://arxiv.org/abs/1903.05964" TargetMode="External" /><Relationship Type="http://schemas.openxmlformats.org/officeDocument/2006/relationships/hyperlink" Id="rId20" Target="https://arxiv.org/abs/2001.11797" TargetMode="External" /><Relationship Type="http://schemas.openxmlformats.org/officeDocument/2006/relationships/hyperlink" Id="rId36" Target="https://arxiv.org/abs/2101.03961" TargetMode="External" /><Relationship Type="http://schemas.openxmlformats.org/officeDocument/2006/relationships/hyperlink" Id="rId10" Target="https://arxiv.org/abs/2102.13196" TargetMode="External" /><Relationship Type="http://schemas.openxmlformats.org/officeDocument/2006/relationships/hyperlink" Id="rId23" Target="https://arxiv.org/abs/2410.05353" TargetMode="External" /><Relationship Type="http://schemas.openxmlformats.org/officeDocument/2006/relationships/hyperlink" Id="rId26" Target="https://docs.xarray.dev/en/latest/user-guide/data-structures.html" TargetMode="External" /><Relationship Type="http://schemas.openxmlformats.org/officeDocument/2006/relationships/hyperlink" Id="rId31" Target="https://doi.org/10.1016/0024-3795%2887%2990114-5" TargetMode="External" /><Relationship Type="http://schemas.openxmlformats.org/officeDocument/2006/relationships/hyperlink" Id="rId30" Target="https://doi.org/10.1090/bull/1523" TargetMode="External" /><Relationship Type="http://schemas.openxmlformats.org/officeDocument/2006/relationships/hyperlink" Id="rId17" Target="https://ir.cwi.nl/pub/28780/" TargetMode="External" /><Relationship Type="http://schemas.openxmlformats.org/officeDocument/2006/relationships/hyperlink" Id="rId18" Target="https://link.springer.com/article/10.1007/s10208-010-9066-0" TargetMode="External" /><Relationship Type="http://schemas.openxmlformats.org/officeDocument/2006/relationships/hyperlink" Id="rId27" Target="https://pint.readthedocs.io/en/stable/user/numpy.html" TargetMode="External" /><Relationship Type="http://schemas.openxmlformats.org/officeDocument/2006/relationships/hyperlink" Id="rId25" Target="https://press.uchicago.edu/ucp/books/book/distributed/H/bo3643252.html" TargetMode="External" /><Relationship Type="http://schemas.openxmlformats.org/officeDocument/2006/relationships/hyperlink" Id="rId37" Target="https://proceedings.mlr.press/v97/cohen19d.html" TargetMode="External" /><Relationship Type="http://schemas.openxmlformats.org/officeDocument/2006/relationships/hyperlink" Id="rId24" Target="https://redwood.berkeley.edu/publications/" TargetMode="External" /><Relationship Type="http://schemas.openxmlformats.org/officeDocument/2006/relationships/hyperlink" Id="rId22" Target="https://scispace.com/papers/a-counter-example-in-ring-theory-and-homological-algebra-3bjd5jr6li" TargetMode="External" /><Relationship Type="http://schemas.openxmlformats.org/officeDocument/2006/relationships/hyperlink" Id="rId15" Target="https://www.maths.tcd.ie/EMIS/journals/EJP-ECP/article/view/2865/0.html" TargetMode="External" /><Relationship Type="http://schemas.openxmlformats.org/officeDocument/2006/relationships/hyperlink" Id="rId29" Target="https://www.sciencedirect.com/science/article/pii/S0022404925002579" TargetMode="External" /><Relationship Type="http://schemas.openxmlformats.org/officeDocument/2006/relationships/hyperlink" Id="rId11" Target="https://www.tandfonline.com/doi/full/10.1080/03081087.2015.1134429" TargetMode="External" /><Relationship Type="http://schemas.openxmlformats.org/officeDocument/2006/relationships/hyperlink" Id="rId12" Target="sandbox:/mnt/data/htla_verification.py" TargetMode="External" /><Relationship Type="http://schemas.openxmlformats.org/officeDocument/2006/relationships/hyperlink" Id="rId13" Target="sandbox:/mnt/data/htla_verification_output.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