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50ad15cd471b47c7" /><Relationship Type="http://schemas.openxmlformats.org/package/2006/relationships/metadata/core-properties" Target="/package/services/metadata/core-properties/64f053dbfbb54373aa832da33c2fa7c7.psmdcp" Id="Rff48232637304ffa" /></Relationships>
</file>

<file path=word/document.xml><?xml version="1.0" encoding="utf-8"?>
<w:document xmlns:w="http://schemas.openxmlformats.org/wordprocessingml/2006/main">
  <w:body>
    <w:p>
      <w:pPr>
        <w:pStyle w:val="Title"/>
      </w:pPr>
      <w:r>
        <w:t>Advanced Questions on HTLA, HNSW, CDC, Φ Proxy, and Lyapunov Control</w:t>
      </w:r>
    </w:p>
    <w:p>
      <w:pPr>
        <w:pStyle w:val="heading1"/>
      </w:pPr>
      <w:r>
        <w:t>Advanced Technical Perspectives on High-Dimensional Learning, HNSW Graph Search, Causal Integration, Chunking, and Robust Control</w:t>
      </w:r>
    </w:p>
    <w:p>
      <w:r>
        <w:pict>
          <v:rect xmlns:o="urn:schemas-microsoft-com:office:office" xmlns:v="urn:schemas-microsoft-com:vml" style="height:.05pt;mso-width-percent:1000" o:hr="true" o:hrstd="true" o:hralign="center" fillcolor="A0A0A0" stroked="false"/>
        </w:pict>
      </w:r>
    </w:p>
    <w:p>
      <w:pPr>
        <w:pStyle w:val="heading2"/>
      </w:pPr>
      <w:r>
        <w:t>Introduction</w:t>
      </w:r>
    </w:p>
    <w:p>
      <w:r>
        <w:t>This report offers a mathematically nuanced, in-depth analysis of several forefront challenges at the intersection of high-dimensional learning, graph-based nearest neighbor search, causal integration measurement, content-defined chunking for data deduplication, and robust control under system uncertainty. The primary focus is on five technically demanding questions involving: (1) the online learning of weights in the HTLA graded inner product within HNSW graphs without topological destabilization, (2) the role of triangle inequality violations on HNSW’s recall and efficiency when using HTLA metrics, (3) methods for empirically validating computationally tractable Φ proxies in Integrated Information Theory (IIT), (4) deduplication limitations of Content-Defined Chunking (CDC) over normalized, sparsified hypervectors, and (5) synthesizing robust Lyapunov controllers under unknown, time-varying dynamics typical in adaptive learning systems. Each section presents mathematical derivations, algorithmic considerations, and a synthesis of cutting-edge literature to provide actionable perspectives for theoreticians and practitioners alike.</w:t>
      </w:r>
    </w:p>
    <w:p>
      <w:r>
        <w:pict>
          <v:rect xmlns:o="urn:schemas-microsoft-com:office:office" xmlns:v="urn:schemas-microsoft-com:vml" style="height:.05pt;mso-width-percent:1000" o:hr="true" o:hrstd="true" o:hralign="center" fillcolor="A0A0A0" stroked="false"/>
        </w:pict>
      </w:r>
    </w:p>
    <w:p>
      <w:pPr>
        <w:pStyle w:val="heading2"/>
      </w:pPr>
      <w:r>
        <w:t xml:space="preserve">1. Online Learning of HTLA Graded Inner Product Weights </w:t>
      </w:r>
      <w:r/>
      <w:r>
        <w:t xml:space="preserve"> without HNSW Topology Destabilization</w:t>
      </w:r>
    </w:p>
    <w:p>
      <w:pPr>
        <w:pStyle w:val="heading3"/>
      </w:pPr>
      <w:r>
        <w:t>1.1. Problem Setting: Distance Metric Learning in Graph-Based Search</w:t>
      </w:r>
    </w:p>
    <w:p>
      <w:r>
        <w:t>The Hierarchical Navigable Small World (HNSW) algorithm is a state-of-the-art data structure for approximate nearest neighbor (ANN) search. It crucially relies on a static or slowly changing distance metric to maintain a navigable, small-world graph, in which proximity implies neighbor relations. In the context of HTLA (Hierarchically-Typed Linear Algebra), one often considers a graded inner product of the form</w:t>
      </w:r>
    </w:p>
    <w:p>
      <w:r>
        <w:t>[</w:t>
      </w:r>
      <w:r>
        <w:t xml:space="preserve"> </w:t>
      </w:r>
      <w:r>
        <w:t>\langle x, y \rangle</w:t>
      </w:r>
      <w:r>
        <w:t>_</w:t>
      </w:r>
      <w:r>
        <w:t xml:space="preserve"> = \sum</w:t>
      </w:r>
      <w:r>
        <w:t>_</w:t>
      </w:r>
      <w:r>
        <w:t>{\ell} w</w:t>
      </w:r>
      <w:r>
        <w:t>_</w:t>
      </w:r>
      <w:r>
        <w:t>\ell \langle x</w:t>
      </w:r>
      <w:r>
        <w:t>_</w:t>
      </w:r>
      <w:r>
        <w:t>\ell, y</w:t>
      </w:r>
      <w:r>
        <w:t>_</w:t>
      </w:r>
      <w:r>
        <w:t>\ell \rangle,</w:t>
      </w:r>
      <w:r>
        <w:t xml:space="preserve"> </w:t>
      </w:r>
      <w:r>
        <w:t>]</w:t>
      </w:r>
    </w:p>
    <w:p>
      <w:r>
        <w:t xml:space="preserve">where each </w:t>
      </w:r>
      <w:r/>
      <w:r>
        <w:t xml:space="preserve"> and </w:t>
      </w:r>
      <w:r/>
      <w:r>
        <w:t xml:space="preserve"> are projections onto specific grade- or type-specific subspaces, and </w:t>
      </w:r>
      <w:r/>
      <w:r>
        <w:t xml:space="preserve"> are learnable, non-negative weights. Online adaptation of </w:t>
      </w:r>
      <w:r/>
      <w:r>
        <w:t xml:space="preserve"> is appealing for task-driven metric specialization, yet frequent or unprincipled changes risk invalidating the HNSW graph structure</w:t>
      </w:r>
      <w:r>
        <w:rPr>
          <w:vertAlign w:val="superscript"/>
        </w:rPr>
        <w:t>1</w:t>
      </w:r>
      <w:r>
        <w:rPr>
          <w:vertAlign w:val="superscript"/>
        </w:rPr>
        <w:t>2</w:t>
      </w:r>
      <w:r>
        <w:t>.</w:t>
      </w:r>
    </w:p>
    <w:p>
      <w:pPr>
        <w:pStyle w:val="heading3"/>
      </w:pPr>
      <w:r>
        <w:t>1.2. Mathematical Risks of Online Weight Updates</w:t>
      </w:r>
    </w:p>
    <w:p>
      <w:r>
        <w:t xml:space="preserve">HNSW assumes that the proximity graph-built under one metric-remains reliable or approximately so during search queries. If the distance metric undergoes even moderate non-isometric transformations, previously “close” points may become far apart and vice versa. Formally, let </w:t>
      </w:r>
      <w:r/>
      <w:r>
        <w:t xml:space="preserve"> denote the weighted, possibly non-Euclidean, graded inner product-derived distance. If at time </w:t>
      </w:r>
      <w:r/>
      <w:r>
        <w:t xml:space="preserve"> the metric parameter is </w:t>
      </w:r>
      <w:r/>
      <w:r>
        <w:t xml:space="preserve"> and at time </w:t>
      </w:r>
      <w:r/>
      <w:r>
        <w:t xml:space="preserve"> it is </w:t>
      </w:r>
      <w:r/>
      <w:r>
        <w:t>, then pathological cases result when</w:t>
      </w:r>
    </w:p>
    <w:p>
      <w:r>
        <w:t>[</w:t>
      </w:r>
      <w:r>
        <w:t xml:space="preserve"> </w:t>
      </w:r>
      <w:r>
        <w:t>\exists (x, y, z) : d</w:t>
      </w:r>
      <w:r>
        <w:t>_</w:t>
      </w:r>
      <w:r>
        <w:t>{\mathbf</w:t>
      </w:r>
      <w:r>
        <w:rPr>
          <w:vertAlign w:val="superscript"/>
        </w:rPr>
        <w:t>{(t)}}(x, y) \ll d</w:t>
      </w:r>
      <w:r>
        <w:t>{(t)}}(x, z), \quad \text</w:t>
      </w:r>
      <w:r>
        <w:t xml:space="preserve"> \quad d</w:t>
      </w:r>
      <w:r>
        <w:t>_</w:t>
      </w:r>
      <w:r>
        <w:t>{\mathbf</w:t>
      </w:r>
      <w:r>
        <w:rPr>
          <w:vertAlign w:val="superscript"/>
        </w:rPr>
        <w:t>{(t+\Delta t)}}(x, y) \gg d</w:t>
      </w:r>
      <w:r>
        <w:t>{(t+\Delta t)}}(x, z).</w:t>
      </w:r>
      <w:r>
        <w:t xml:space="preserve"> </w:t>
      </w:r>
      <w:r>
        <w:t>]</w:t>
      </w:r>
    </w:p>
    <w:p>
      <w:r>
        <w:t>This can break the HNSW's greedy search process, which depends on the graph’s navigability properties: specifically, that “closer” nodes remain “closer” under minor metric perturbations. Strong metric drift can thus create “dead-ends” or search inefficiencies</w:t>
      </w:r>
      <w:r>
        <w:rPr>
          <w:vertAlign w:val="superscript"/>
        </w:rPr>
        <w:t>3</w:t>
      </w:r>
      <w:r>
        <w:rPr>
          <w:vertAlign w:val="superscript"/>
        </w:rPr>
        <w:t>4</w:t>
      </w:r>
      <w:r>
        <w:t>.</w:t>
      </w:r>
    </w:p>
    <w:p>
      <w:pPr>
        <w:pStyle w:val="heading3"/>
      </w:pPr>
      <w:r>
        <w:t>1.3. Algorithms for Stable Online Weight Learning</w:t>
      </w:r>
    </w:p>
    <w:p>
      <w:r>
        <w:t xml:space="preserve">To learn </w:t>
      </w:r>
      <w:r/>
      <w:r>
        <w:t xml:space="preserve"> online without invalidating HNSW’s topology, several strategies can be adopted:</w:t>
      </w:r>
    </w:p>
    <w:p>
      <w:pPr>
        <w:pStyle w:val="ListParagraph"/>
        <w:numPr>
          <w:ilvl w:val="0"/>
          <w:numId w:val="1"/>
        </w:numPr>
      </w:pPr>
      <w:r>
        <w:rPr>
          <w:b/>
        </w:rPr>
        <w:t>Smooth, Regularized Updates</w:t>
      </w:r>
      <w:r>
        <w:t xml:space="preserve">: Restrict weight adjustments to incremental, small steps, enforcing </w:t>
      </w:r>
      <w:r/>
      <w:r>
        <w:t>. Theoretical support for such smoothness arises from stability analyses in metric learning</w:t>
      </w:r>
      <w:r>
        <w:rPr>
          <w:vertAlign w:val="superscript"/>
        </w:rPr>
        <w:t>5</w:t>
      </w:r>
      <w:r>
        <w:t>.</w:t>
      </w:r>
    </w:p>
    <w:p>
      <w:pPr>
        <w:pStyle w:val="ListParagraph"/>
        <w:numPr>
          <w:ilvl w:val="0"/>
          <w:numId w:val="1"/>
        </w:numPr>
      </w:pPr>
      <w:r>
        <w:rPr>
          <w:b/>
        </w:rPr>
        <w:t>Metric Compatibility Checks</w:t>
      </w:r>
      <w:r>
        <w:t xml:space="preserve">: Before updating </w:t>
      </w:r>
      <w:r/>
      <w:r>
        <w:t>, compute the anticipated distortion to edge weights or neighborhood ranks for crucial nodes. If the majority of existing neighbor relations are preserved (e.g., via Kendall’s τ or intersection metrics), proceed; otherwise, delay or scale down the update.</w:t>
      </w:r>
    </w:p>
    <w:p>
      <w:pPr>
        <w:pStyle w:val="ListParagraph"/>
        <w:numPr>
          <w:ilvl w:val="0"/>
          <w:numId w:val="1"/>
        </w:numPr>
      </w:pPr>
      <w:r>
        <w:rPr>
          <w:b/>
        </w:rPr>
        <w:t>Look-ahead Local Rewiring</w:t>
      </w:r>
      <w:r>
        <w:t>: For each candidate weight update, simulate local rewiring within a small neighborhood and measure impact on recall/precision. Only commit updates passing local stability thresholds, as in "safe graph editing" heuristics from recent graph learning work</w:t>
      </w:r>
      <w:r>
        <w:rPr>
          <w:vertAlign w:val="superscript"/>
        </w:rPr>
        <w:t>6</w:t>
      </w:r>
      <w:r>
        <w:t>.</w:t>
      </w:r>
    </w:p>
    <w:p>
      <w:pPr>
        <w:pStyle w:val="ListParagraph"/>
        <w:numPr>
          <w:ilvl w:val="0"/>
          <w:numId w:val="1"/>
        </w:numPr>
      </w:pPr>
      <w:r>
        <w:rPr>
          <w:b/>
        </w:rPr>
        <w:t>Meta-Learning of Update Schedules</w:t>
      </w:r>
      <w:r>
        <w:t>: Deploy reinforcement learning or other meta-optimization to select when and how to update weights, considering both accuracy gains and search budget constraints.</w:t>
      </w:r>
    </w:p>
    <w:p>
      <w:pPr>
        <w:pStyle w:val="heading3"/>
      </w:pPr>
      <w:r>
        <w:t>Mathematical Formulation</w:t>
      </w:r>
    </w:p>
    <w:p>
      <w:r>
        <w:t xml:space="preserve">Suppose the search graph at time </w:t>
      </w:r>
      <w:r/>
      <w:r>
        <w:t xml:space="preserve"> under metric </w:t>
      </w:r>
      <w:r/>
      <w:r>
        <w:t xml:space="preserve"> is </w:t>
      </w:r>
      <w:r/>
      <w:r>
        <w:t xml:space="preserve">, and </w:t>
      </w:r>
      <w:r/>
      <w:r>
        <w:t xml:space="preserve"> is the neighbor set for query </w:t>
      </w:r>
      <w:r/>
      <w:r>
        <w:t>. Define a compatibility function:</w:t>
      </w:r>
    </w:p>
    <w:p>
      <w:r>
        <w:t>[</w:t>
      </w:r>
      <w:r>
        <w:t xml:space="preserve"> </w:t>
      </w:r>
      <w:r>
        <w:t>C(\mathbf</w:t>
      </w:r>
      <w:r>
        <w:rPr>
          <w:vertAlign w:val="superscript"/>
        </w:rPr>
        <w:t>{(t)}, \mathbf</w:t>
      </w:r>
      <w:r>
        <w:t>{(t+1)}) = \frac{1}{|\mathcal</w:t>
      </w:r>
      <w:r>
        <w:t>|} \sum</w:t>
      </w:r>
      <w:r>
        <w:t>_</w:t>
      </w:r>
      <w:r>
        <w:t>{q \in \mathcal</w:t>
      </w:r>
      <w:r>
        <w:t>} \frac{|\mathcal</w:t>
      </w:r>
      <w:r>
        <w:t>_</w:t>
      </w:r>
      <w:r>
        <w:t>q</w:t>
      </w:r>
      <w:r>
        <w:t>^</w:t>
      </w:r>
      <w:r>
        <w:t>{(t)} \cap \mathcal</w:t>
      </w:r>
      <w:r>
        <w:t>_</w:t>
      </w:r>
      <w:r>
        <w:t>q</w:t>
      </w:r>
      <w:r>
        <w:t>^</w:t>
      </w:r>
      <w:r>
        <w:t>{(t+1)}|}</w:t>
      </w:r>
      <w:r>
        <w:t xml:space="preserve"> </w:t>
      </w:r>
      <w:r>
        <w:t>]</w:t>
      </w:r>
    </w:p>
    <w:p>
      <w:r>
        <w:t xml:space="preserve">where </w:t>
      </w:r>
      <w:r/>
      <w:r>
        <w:t xml:space="preserve"> is the desired recall (top-</w:t>
      </w:r>
      <w:r/>
      <w:r>
        <w:t xml:space="preserve">). Only allow an update if </w:t>
      </w:r>
      <w:r/>
      <w:r>
        <w:t xml:space="preserve"> remains above a threshold </w:t>
      </w:r>
      <w:r/>
      <w:r>
        <w:t xml:space="preserve"> (e.g., </w:t>
      </w:r>
      <w:r/>
      <w:r>
        <w:t>).</w:t>
      </w:r>
    </w:p>
    <w:p>
      <w:pPr>
        <w:pStyle w:val="heading3"/>
      </w:pPr>
      <w:r>
        <w:t>1.4. Case Study: Metrics Used in Recent Work</w:t>
      </w:r>
    </w:p>
    <w:p>
      <w:r>
        <w:t>Emerging practice in systems such as Vespa's approximate MIPS leverages heavy-tailed, data-adaptive weighting but applies changes in batches after graph re-indexing. Template-based approaches re-perform partial graph rewiring (e.g., local bubble updates) when significant metric drift is detected, amortizing the cost while preserving global structure.</w:t>
      </w:r>
    </w:p>
    <w:p>
      <w:pPr>
        <w:pStyle w:val="heading3"/>
      </w:pPr>
      <w:r>
        <w:t>1.5. Conclusion and Research Outlook</w:t>
      </w:r>
    </w:p>
    <w:p>
      <w:r>
        <w:t>Maintaining HNSW’s small-world navigability under online distance metric learning is an open technical challenge. Well-motivated incrementalism, compatibility checks, and local rewiring represent best practices, but no solution offers provable guarantees under arbitrary metric evolution. Advanced meta-learning and on-the-fly topology repair are active areas of research</w:t>
      </w:r>
      <w:r>
        <w:rPr>
          <w:vertAlign w:val="superscript"/>
        </w:rPr>
        <w:t>6</w:t>
      </w:r>
      <w:r>
        <w:t>.</w:t>
      </w:r>
    </w:p>
    <w:p>
      <w:r>
        <w:pict>
          <v:rect xmlns:o="urn:schemas-microsoft-com:office:office" xmlns:v="urn:schemas-microsoft-com:vml" style="height:.05pt;mso-width-percent:1000" o:hr="true" o:hrstd="true" o:hralign="center" fillcolor="A0A0A0" stroked="false"/>
        </w:pict>
      </w:r>
    </w:p>
    <w:p>
      <w:pPr>
        <w:pStyle w:val="heading2"/>
      </w:pPr>
      <w:r>
        <w:t>2. Triangle Inequality Violation in HTLA Graded Inner Product: Impacts on HNSW</w:t>
      </w:r>
    </w:p>
    <w:p>
      <w:pPr>
        <w:pStyle w:val="heading3"/>
      </w:pPr>
      <w:r>
        <w:t>2.1. HTLA Graded Inner Product and Metric Violations</w:t>
      </w:r>
    </w:p>
    <w:p>
      <w:r>
        <w:t xml:space="preserve">The HTLA graded inner product, due to weighting and grade-selective composition, often forms a quasi-metric: it may violate the triangle inequality for certain </w:t>
      </w:r>
      <w:r/>
      <w:r>
        <w:t xml:space="preserve"> choices or data projections, despite being symmetric and non-negative. In the context of K-nearest neighbor graphs and particularly HNSW, such violations may have outsized effects, since the algorithm’s guarantees informally assume a “reasonable” metric space structure</w:t>
      </w:r>
      <w:r>
        <w:rPr>
          <w:vertAlign w:val="superscript"/>
        </w:rPr>
        <w:t>3</w:t>
      </w:r>
      <w:r>
        <w:rPr>
          <w:vertAlign w:val="superscript"/>
        </w:rPr>
        <w:t>4</w:t>
      </w:r>
      <w:r>
        <w:t>.</w:t>
      </w:r>
    </w:p>
    <w:p>
      <w:pPr>
        <w:pStyle w:val="heading3"/>
      </w:pPr>
      <w:r>
        <w:t>2.2. Why Triangle Inequality Matters in HNSW</w:t>
      </w:r>
    </w:p>
    <w:p>
      <w:r>
        <w:t>The triangle inequality,</w:t>
      </w:r>
    </w:p>
    <w:p>
      <w:r>
        <w:t>[</w:t>
      </w:r>
      <w:r>
        <w:t xml:space="preserve"> </w:t>
      </w:r>
      <w:r>
        <w:t>d(x, z) \leq d(x, y) + d(y, z) \quad \forall x, y, z,</w:t>
      </w:r>
      <w:r>
        <w:t xml:space="preserve"> </w:t>
      </w:r>
      <w:r>
        <w:t>]</w:t>
      </w:r>
    </w:p>
    <w:p>
      <w:r>
        <w:t xml:space="preserve">ensures that “short-circuit” paths are not arbitrarily shorter than expected, preventing misleading detours during greedy search. Violations mean that the constructed graph neighborhoods may not reflect traversable proximity paths in the metric: two points </w:t>
      </w:r>
      <w:r/>
      <w:r>
        <w:t xml:space="preserve"> and </w:t>
      </w:r>
      <w:r/>
      <w:r>
        <w:t xml:space="preserve"> may be “close” via </w:t>
      </w:r>
      <w:r/>
      <w:r>
        <w:t xml:space="preserve"> in terms of neighborhoods, but in fact, the path is not efficient under the new distance.</w:t>
      </w:r>
    </w:p>
    <w:p>
      <w:pPr>
        <w:pStyle w:val="heading3"/>
      </w:pPr>
      <w:r>
        <w:t>2.3. Quantitative Impacts on Search Efficiency and Recall</w:t>
      </w:r>
    </w:p>
    <w:p>
      <w:r>
        <w:t>Empirical literature and recent theoretical works demonstrate that triangle inequality violations in HNSW typically:</w:t>
      </w:r>
    </w:p>
    <w:p>
      <w:pPr>
        <w:pStyle w:val="ListParagraph"/>
        <w:numPr>
          <w:ilvl w:val="0"/>
          <w:numId w:val="2"/>
        </w:numPr>
      </w:pPr>
      <w:r>
        <w:rPr>
          <w:b/>
        </w:rPr>
        <w:t>Increase Search Path Length</w:t>
      </w:r>
      <w:r>
        <w:t>: The number of hops to reach close neighbors rises as the algorithm cannot reliably “shortcut” via intermediate points</w:t>
      </w:r>
      <w:r>
        <w:rPr>
          <w:vertAlign w:val="superscript"/>
        </w:rPr>
        <w:t>6</w:t>
      </w:r>
      <w:r>
        <w:t>.</w:t>
      </w:r>
    </w:p>
    <w:p>
      <w:pPr>
        <w:pStyle w:val="ListParagraph"/>
        <w:numPr>
          <w:ilvl w:val="0"/>
          <w:numId w:val="2"/>
        </w:numPr>
      </w:pPr>
      <w:r>
        <w:rPr>
          <w:b/>
        </w:rPr>
        <w:t>Decrease Search Recall</w:t>
      </w:r>
      <w:r>
        <w:t>: The algorithm is more likely to get trapped in local minima-reaching non-optimal neighbors and missing true nearest entries</w:t>
      </w:r>
      <w:r>
        <w:rPr>
          <w:vertAlign w:val="superscript"/>
        </w:rPr>
        <w:t>2</w:t>
      </w:r>
      <w:r>
        <w:t>.</w:t>
      </w:r>
    </w:p>
    <w:p>
      <w:pPr>
        <w:pStyle w:val="ListParagraph"/>
        <w:numPr>
          <w:ilvl w:val="0"/>
          <w:numId w:val="2"/>
        </w:numPr>
      </w:pPr>
      <w:r>
        <w:rPr>
          <w:b/>
        </w:rPr>
        <w:t>Introduce Topological Holes</w:t>
      </w:r>
      <w:r>
        <w:t>: Strong violations can create navigational ‘holes’-regions of the graph unreachable via greedy search.</w:t>
      </w:r>
    </w:p>
    <w:p>
      <w:pPr>
        <w:pStyle w:val="heading3"/>
      </w:pPr>
      <w:r>
        <w:t>2.4. When Are Violations Damaging? Quantitative Heuristics</w:t>
      </w:r>
    </w:p>
    <w:p>
      <w:r>
        <w:t>Violations are most harmful when:</w:t>
      </w:r>
    </w:p>
    <w:p>
      <w:pPr>
        <w:pStyle w:val="ListParagraph"/>
        <w:numPr>
          <w:ilvl w:val="0"/>
          <w:numId w:val="3"/>
        </w:numPr>
      </w:pPr>
      <w:r>
        <w:rPr>
          <w:b/>
        </w:rPr>
        <w:t>Magnitude is Large</w:t>
      </w:r>
      <w:r>
        <w:t xml:space="preserve">: If for some triple </w:t>
      </w:r>
      <w:r/>
      <w:r>
        <w:t xml:space="preserve">, </w:t>
      </w:r>
      <w:r/>
      <w:r>
        <w:t xml:space="preserve"> with high frequency.</w:t>
      </w:r>
    </w:p>
    <w:p>
      <w:pPr>
        <w:pStyle w:val="ListParagraph"/>
        <w:numPr>
          <w:ilvl w:val="0"/>
          <w:numId w:val="3"/>
        </w:numPr>
      </w:pPr>
      <w:r>
        <w:rPr>
          <w:b/>
        </w:rPr>
        <w:t>Density of Violations</w:t>
      </w:r>
      <w:r>
        <w:t>: If a non-negligible fraction of data triples violate the triangle inequality “badly,” navigability collapses</w:t>
      </w:r>
      <w:r>
        <w:rPr>
          <w:vertAlign w:val="superscript"/>
        </w:rPr>
        <w:t>7</w:t>
      </w:r>
      <w:r>
        <w:t>.</w:t>
      </w:r>
    </w:p>
    <w:p>
      <w:pPr>
        <w:pStyle w:val="ListParagraph"/>
        <w:numPr>
          <w:ilvl w:val="0"/>
          <w:numId w:val="3"/>
        </w:numPr>
      </w:pPr>
      <w:r>
        <w:rPr>
          <w:b/>
        </w:rPr>
        <w:t>High-Dimensional or Highly Weighted Subspaces</w:t>
      </w:r>
      <w:r>
        <w:t xml:space="preserve">: If certain grades </w:t>
      </w:r>
      <w:r/>
      <w:r>
        <w:t xml:space="preserve"> dominate </w:t>
      </w:r>
      <w:r/>
      <w:r>
        <w:t xml:space="preserve"> and produce sparse or erratic inner products, triangle inequality violations concentrate.</w:t>
      </w:r>
    </w:p>
    <w:p>
      <w:r>
        <w:t>Recent analyses suggest defining a violation score:</w:t>
      </w:r>
    </w:p>
    <w:p>
      <w:r>
        <w:t>[</w:t>
      </w:r>
      <w:r>
        <w:t xml:space="preserve"> </w:t>
      </w:r>
      <w:r>
        <w:t>V = \mathbb</w:t>
      </w:r>
      <w:r>
        <w:t>_</w:t>
      </w:r>
      <w:r>
        <w:t>{x,y,z}</w:t>
      </w:r>
      <w:r>
        <w:t>[</w:t>
      </w:r>
      <w:r>
        <w:t>\max(0, d(x, y) + d(y, z) - d(x, z))],</w:t>
      </w:r>
      <w:r>
        <w:t xml:space="preserve"> </w:t>
      </w:r>
      <w:r>
        <w:t>]</w:t>
      </w:r>
    </w:p>
    <w:p>
      <w:r>
        <w:t xml:space="preserve">and keeping </w:t>
      </w:r>
      <w:r/>
      <w:r>
        <w:t xml:space="preserve"> below a critical empirically determined value (e.g., </w:t>
      </w:r>
      <w:r/>
      <w:r>
        <w:t xml:space="preserve"> for robust performance in medium-scale datasets).</w:t>
      </w:r>
    </w:p>
    <w:p>
      <w:pPr>
        <w:pStyle w:val="heading3"/>
      </w:pPr>
      <w:r>
        <w:t>2.5. Mitigation: Smoothing and Constrained Metric Learning</w:t>
      </w:r>
    </w:p>
    <w:p>
      <w:r>
        <w:t xml:space="preserve">One approach is to </w:t>
      </w:r>
      <w:r>
        <w:rPr>
          <w:b/>
        </w:rPr>
        <w:t>constrain weight updates</w:t>
      </w:r>
      <w:r>
        <w:t xml:space="preserve"> </w:t>
      </w:r>
      <w:r/>
      <w:r>
        <w:t xml:space="preserve"> such that the induced quasi-metric’s triangle inequality violations are capped (either via hard constraints or penalization in loss objective)</w:t>
      </w:r>
      <w:r>
        <w:rPr>
          <w:vertAlign w:val="superscript"/>
        </w:rPr>
        <w:t>5</w:t>
      </w:r>
      <w:r>
        <w:t xml:space="preserve">. Alternatively, </w:t>
      </w:r>
      <w:r>
        <w:rPr>
          <w:b/>
        </w:rPr>
        <w:t>metric repair</w:t>
      </w:r>
      <w:r>
        <w:t xml:space="preserve"> methods “project” the learned distance matrix onto the nearest metric-compatible one post-hoc, but these are computationally intensive for large graphs.</w:t>
      </w:r>
    </w:p>
    <w:p>
      <w:r>
        <w:pict>
          <v:rect xmlns:o="urn:schemas-microsoft-com:office:office" xmlns:v="urn:schemas-microsoft-com:vml" style="height:.05pt;mso-width-percent:1000" o:hr="true" o:hrstd="true" o:hralign="center" fillcolor="A0A0A0" stroked="false"/>
        </w:pict>
      </w:r>
    </w:p>
    <w:p>
      <w:pPr>
        <w:pStyle w:val="heading2"/>
      </w:pPr>
      <w:r>
        <w:t>3. Φ Proxy Validation in Integrated Information Theory</w:t>
      </w:r>
    </w:p>
    <w:p>
      <w:pPr>
        <w:pStyle w:val="heading3"/>
      </w:pPr>
      <w:r>
        <w:t>3.1. Integrated Information Theory and Φ</w:t>
      </w:r>
    </w:p>
    <w:p>
      <w:r>
        <w:t xml:space="preserve">Integrated Information Theory (IIT) provides a mathematical framework to quantify the extent to which parts of a system integrate information, using a scalar quantity, </w:t>
      </w:r>
      <w:r/>
      <w:r>
        <w:t xml:space="preserve">, intended to measure irreducibility and causality integration. However, the canonical computation of </w:t>
      </w:r>
      <w:r/>
      <w:r>
        <w:t xml:space="preserve"> is combinatorially explosive for large systems, prompting a need for computationally tractable heuristic proxies for </w:t>
      </w:r>
      <w:r/>
      <w:r>
        <w:rPr>
          <w:vertAlign w:val="superscript"/>
        </w:rPr>
        <w:t>8</w:t>
      </w:r>
      <w:r>
        <w:rPr>
          <w:vertAlign w:val="superscript"/>
        </w:rPr>
        <w:t>9</w:t>
      </w:r>
      <w:r>
        <w:t>.</w:t>
      </w:r>
    </w:p>
    <w:p>
      <w:pPr>
        <w:pStyle w:val="heading3"/>
      </w:pPr>
      <w:r>
        <w:t>3.2. Proposing and Formalizing Φ Proxies</w:t>
      </w:r>
    </w:p>
    <w:p>
      <w:r>
        <w:t xml:space="preserve">Common proxies for </w:t>
      </w:r>
      <w:r/>
      <w:r>
        <w:t xml:space="preserve"> are defined using various information-theoretic or graph-theoretic quantities that are more tractable. For example, mutual information across minimal partitions; compression-based measures of data integration; spectral gap estimates; or surrogates derived from Partial Information Decomposition (PID).</w:t>
      </w:r>
    </w:p>
    <w:p>
      <w:r>
        <w:t xml:space="preserve">Suppose a proposed </w:t>
      </w:r>
      <w:r/>
      <w:r>
        <w:t xml:space="preserve"> proxy is </w:t>
      </w:r>
      <w:r/>
      <w:r>
        <w:t xml:space="preserve"> defined as</w:t>
      </w:r>
    </w:p>
    <w:p>
      <w:r>
        <w:t>[</w:t>
      </w:r>
      <w:r>
        <w:t xml:space="preserve"> </w:t>
      </w:r>
      <w:r>
        <w:t>\Phi'(X) = f(\text</w:t>
      </w:r>
      <w:r>
        <w:t>_</w:t>
      </w:r>
      <w:r>
        <w:t>{\text</w:t>
      </w:r>
      <w:r>
        <w:t>}(X), \text</w:t>
      </w:r>
      <w:r>
        <w:t>(G_X), \ldots),</w:t>
      </w:r>
      <w:r>
        <w:t xml:space="preserve"> </w:t>
      </w:r>
      <w:r>
        <w:t>]</w:t>
      </w:r>
    </w:p>
    <w:p>
      <w:r>
        <w:t xml:space="preserve">where </w:t>
      </w:r>
      <w:r/>
      <w:r>
        <w:t xml:space="preserve"> is the mutual information across a bipartition and </w:t>
      </w:r>
      <w:r/>
      <w:r>
        <w:t xml:space="preserve"> is the system's causal interaction graph.</w:t>
      </w:r>
    </w:p>
    <w:p>
      <w:pPr>
        <w:pStyle w:val="heading3"/>
      </w:pPr>
      <w:r>
        <w:t>3.3. Validation Methodologies</w:t>
      </w:r>
    </w:p>
    <w:p>
      <w:r>
        <w:rPr>
          <w:b/>
        </w:rPr>
        <w:t>Validation requires both theoretical justification and empirical calibration</w:t>
      </w:r>
      <w:r>
        <w:t>:</w:t>
      </w:r>
    </w:p>
    <w:p>
      <w:pPr>
        <w:pStyle w:val="ListParagraph"/>
        <w:numPr>
          <w:ilvl w:val="0"/>
          <w:numId w:val="4"/>
        </w:numPr>
      </w:pPr>
      <w:r>
        <w:rPr>
          <w:b/>
        </w:rPr>
        <w:t>Theoretical Consistency</w:t>
      </w:r>
      <w:r>
        <w:t xml:space="preserve">: The proxy </w:t>
      </w:r>
      <w:r/>
      <w:r>
        <w:t xml:space="preserve"> must distinguish integrated from merely aggregated dynamics, reflect causal irreducibility, and scale coherently with system composition</w:t>
      </w:r>
      <w:r>
        <w:rPr>
          <w:vertAlign w:val="superscript"/>
        </w:rPr>
        <w:t>10</w:t>
      </w:r>
      <w:r>
        <w:t>.</w:t>
      </w:r>
    </w:p>
    <w:p>
      <w:pPr>
        <w:pStyle w:val="ListParagraph"/>
        <w:numPr>
          <w:ilvl w:val="0"/>
          <w:numId w:val="4"/>
        </w:numPr>
      </w:pPr>
      <w:r>
        <w:rPr>
          <w:b/>
        </w:rPr>
        <w:t>Empirical Correlation</w:t>
      </w:r>
      <w:r>
        <w:t xml:space="preserve">: Numerically simulate small-to-medium systems where exact </w:t>
      </w:r>
      <w:r/>
      <w:r>
        <w:t xml:space="preserve"> is computable (e.g., boolean networks, small neuronal models), then compute the correlation (Pearson/Spearman) between exact </w:t>
      </w:r>
      <w:r/>
      <w:r>
        <w:t xml:space="preserve"> and the proxy </w:t>
      </w:r>
      <w:r/>
      <w:r>
        <w:rPr>
          <w:vertAlign w:val="superscript"/>
        </w:rPr>
        <w:t>9</w:t>
      </w:r>
      <w:r>
        <w:t>.</w:t>
      </w:r>
    </w:p>
    <w:p>
      <w:pPr>
        <w:pStyle w:val="ListParagraph"/>
        <w:numPr>
          <w:ilvl w:val="0"/>
          <w:numId w:val="4"/>
        </w:numPr>
      </w:pPr>
      <w:r>
        <w:rPr>
          <w:b/>
        </w:rPr>
        <w:t>Ablation Studies</w:t>
      </w:r>
      <w:r>
        <w:t xml:space="preserve">: Remove or randomize couplings in the system and verify that </w:t>
      </w:r>
      <w:r/>
      <w:r>
        <w:t xml:space="preserve"> monotonically drops in tandem with actual </w:t>
      </w:r>
      <w:r/>
      <w:r>
        <w:t xml:space="preserve"> as integration vanishes.</w:t>
      </w:r>
    </w:p>
    <w:p>
      <w:pPr>
        <w:pStyle w:val="ListParagraph"/>
        <w:numPr>
          <w:ilvl w:val="0"/>
          <w:numId w:val="4"/>
        </w:numPr>
      </w:pPr>
      <w:r>
        <w:rPr>
          <w:b/>
        </w:rPr>
        <w:t>False-Positive/Negative Analysis</w:t>
      </w:r>
      <w:r>
        <w:t>: Test pathological cases-e.g., systems with high mutual information due to shared input but no actual causal integration-to rule out false positives, as warned in the empirical literature</w:t>
      </w:r>
      <w:r>
        <w:rPr>
          <w:vertAlign w:val="superscript"/>
        </w:rPr>
        <w:t>10</w:t>
      </w:r>
      <w:r>
        <w:t>.</w:t>
      </w:r>
    </w:p>
    <w:p>
      <w:pPr>
        <w:pStyle w:val="heading3"/>
      </w:pPr>
      <w:r>
        <w:t>3.4. Computational Approaches</w:t>
      </w:r>
    </w:p>
    <w:p>
      <w:r>
        <w:t xml:space="preserve">Recent IIT toolkits (e.g., PyPhi) provide both full and approximate computations of </w:t>
      </w:r>
      <w:r/>
      <w:r>
        <w:t xml:space="preserve"> for benchmarking proxies</w:t>
      </w:r>
      <w:r>
        <w:rPr>
          <w:vertAlign w:val="superscript"/>
        </w:rPr>
        <w:t>9</w:t>
      </w:r>
      <w:r>
        <w:t xml:space="preserve">. Machine learning methods (e.g., regression meta-models) are increasingly used to map system features to computed </w:t>
      </w:r>
      <w:r/>
      <w:r>
        <w:t xml:space="preserve"> and validate proxy consistency.</w:t>
      </w:r>
    </w:p>
    <w:p>
      <w:pPr>
        <w:pStyle w:val="heading3"/>
      </w:pPr>
      <w:r>
        <w:t>3.5. Challenges and Ongoing Research</w:t>
      </w:r>
    </w:p>
    <w:p>
      <w:r>
        <w:t xml:space="preserve">Even promising proxies may fail on large or degenerate networks, or if the underlying dynamics are highly non-linear. There is an open research agenda in distinguishing </w:t>
      </w:r>
      <w:r>
        <w:rPr>
          <w:b/>
        </w:rPr>
        <w:t>integration</w:t>
      </w:r>
      <w:r>
        <w:t xml:space="preserve"> from </w:t>
      </w:r>
      <w:r>
        <w:rPr>
          <w:b/>
        </w:rPr>
        <w:t>mere statistical correlation</w:t>
      </w:r>
      <w:r>
        <w:t>-a subtlety at the heart of Φ’s scientific utility</w:t>
      </w:r>
      <w:r>
        <w:rPr>
          <w:vertAlign w:val="superscript"/>
        </w:rPr>
        <w:t>8</w:t>
      </w:r>
      <w:r>
        <w:t>.</w:t>
      </w:r>
    </w:p>
    <w:p>
      <w:r>
        <w:pict>
          <v:rect xmlns:o="urn:schemas-microsoft-com:office:office" xmlns:v="urn:schemas-microsoft-com:vml" style="height:.05pt;mso-width-percent:1000" o:hr="true" o:hrstd="true" o:hralign="center" fillcolor="A0A0A0" stroked="false"/>
        </w:pict>
      </w:r>
    </w:p>
    <w:p>
      <w:pPr>
        <w:pStyle w:val="heading2"/>
      </w:pPr>
      <w:r>
        <w:t>4. CDC Limitations for Deduplication in Sparse, Normalized Hypervectors</w:t>
      </w:r>
    </w:p>
    <w:p>
      <w:pPr>
        <w:pStyle w:val="heading3"/>
      </w:pPr>
      <w:r>
        <w:t>4.1. Content-Defined Chunking in High-Dimensional Data</w:t>
      </w:r>
    </w:p>
    <w:p>
      <w:r>
        <w:t>Content-Defined Chunking (CDC) segments data into chunks based on content (e.g., via rolling hash boundaries), which aids in deduplication by aligning similar regions into identical or overlapping chunks. CDC is foundational to data deduplication engines in storage systems</w:t>
      </w:r>
      <w:r>
        <w:rPr>
          <w:vertAlign w:val="superscript"/>
        </w:rPr>
        <w:t>11</w:t>
      </w:r>
      <w:r>
        <w:rPr>
          <w:vertAlign w:val="superscript"/>
        </w:rPr>
        <w:t>12</w:t>
      </w:r>
      <w:r>
        <w:t>.</w:t>
      </w:r>
    </w:p>
    <w:p>
      <w:pPr>
        <w:pStyle w:val="heading3"/>
      </w:pPr>
      <w:r>
        <w:t>4.2. Challenges with Sparse, Normalized High-Dimensional Hypervectors</w:t>
      </w:r>
    </w:p>
    <w:p>
      <w:r>
        <w:t xml:space="preserve">High-dimensional hypervectors frequently undergo normalization (e.g., to unit </w:t>
      </w:r>
      <w:r/>
      <w:r>
        <w:t xml:space="preserve"> norm) and sparsification (e.g., thresholding or top-k selection for interpretability or efficiency)</w:t>
      </w:r>
      <w:r>
        <w:rPr>
          <w:vertAlign w:val="superscript"/>
        </w:rPr>
        <w:t>13</w:t>
      </w:r>
      <w:r>
        <w:t>. This changes the statistical structure of the data:</w:t>
      </w:r>
    </w:p>
    <w:p>
      <w:pPr>
        <w:pStyle w:val="ListParagraph"/>
        <w:numPr>
          <w:ilvl w:val="0"/>
          <w:numId w:val="5"/>
        </w:numPr>
      </w:pPr>
      <w:r>
        <w:rPr>
          <w:b/>
        </w:rPr>
        <w:t>Reduced Redundancy</w:t>
      </w:r>
      <w:r>
        <w:t>: Normalization maps different magnitude “versions” of the same vector to the same “direction;” sparsification zeros out weak components, discarding amplitude and introducing ties.</w:t>
      </w:r>
    </w:p>
    <w:p>
      <w:pPr>
        <w:pStyle w:val="ListParagraph"/>
        <w:numPr>
          <w:ilvl w:val="0"/>
          <w:numId w:val="5"/>
        </w:numPr>
      </w:pPr>
      <w:r>
        <w:rPr>
          <w:b/>
        </w:rPr>
        <w:t>Unstable Local Patterns</w:t>
      </w:r>
      <w:r>
        <w:t>: CDC relies on local (typically byte- or feature-wise) pattern repetition, but with hypervectors, each dimension may code independent or even orthogonal information. Locality is diminished.</w:t>
      </w:r>
    </w:p>
    <w:p>
      <w:pPr>
        <w:pStyle w:val="heading3"/>
      </w:pPr>
      <w:r>
        <w:t>4.3. Deduplication Ratio and Theoretical Limits</w:t>
      </w:r>
    </w:p>
    <w:p>
      <w:r>
        <w:t xml:space="preserve">For CDC algorithms, deduplication ratio </w:t>
      </w:r>
      <w:r/>
      <w:r>
        <w:t xml:space="preserve"> is roughly the ratio of logical data size to unique stored chunk size. With highly random, normalized, or sparse vectors, the chance that two windows produce the same CDC fingerprint (e.g., via Rabin hash) collapses:</w:t>
      </w:r>
    </w:p>
    <w:p>
      <w:r>
        <w:t>[</w:t>
      </w:r>
      <w:r>
        <w:t xml:space="preserve"> </w:t>
      </w:r>
      <w:r>
        <w:t>P</w:t>
      </w:r>
      <w:r>
        <w:t>_</w:t>
      </w:r>
      <w:r>
        <w:t>{\text</w:t>
      </w:r>
      <w:r>
        <w:t>} \sim \frac{1}{2</w:t>
      </w:r>
      <w:r>
        <w:t>^</w:t>
      </w:r>
      <w:r>
        <w:t xml:space="preserve">} \quad \text{for </w:t>
      </w:r>
      <w:r/>
      <w:r>
        <w:t>-dimensional fully random hypervectors}</w:t>
      </w:r>
      <w:r>
        <w:t xml:space="preserve"> </w:t>
      </w:r>
      <w:r>
        <w:t>]</w:t>
      </w:r>
    </w:p>
    <w:p>
      <w:r>
        <w:t>For normalized, thresholded hypervectors, the entropy per chunk is nearly maximal, so deduplication ratios for overlapping data tank-even if source data has semantic overlap.</w:t>
      </w:r>
    </w:p>
    <w:p>
      <w:pPr>
        <w:pStyle w:val="heading3"/>
      </w:pPr>
      <w:r>
        <w:t>4.4. Practical Study of CDC Failures</w:t>
      </w:r>
    </w:p>
    <w:p>
      <w:r>
        <w:t xml:space="preserve">Recent work shows that “semantic similarity” between hypervectors does </w:t>
      </w:r>
      <w:r>
        <w:rPr>
          <w:b/>
        </w:rPr>
        <w:t>not</w:t>
      </w:r>
      <w:r>
        <w:t xml:space="preserve"> translate into identical CDC fingerprints, and so CDC achieves near zero deduplication except in pathologically structured or low-dimensional regimes</w:t>
      </w:r>
      <w:r>
        <w:rPr>
          <w:vertAlign w:val="superscript"/>
        </w:rPr>
        <w:t>14</w:t>
      </w:r>
      <w:r>
        <w:t>. In practice, deduplication is maximized when raw data is highly non-sparse, with moderate repetition and preserved local permutations.</w:t>
      </w:r>
    </w:p>
    <w:p>
      <w:pPr>
        <w:pStyle w:val="heading3"/>
      </w:pPr>
      <w:r>
        <w:t>4.5. Alternative Approaches</w:t>
      </w:r>
    </w:p>
    <w:p>
      <w:pPr>
        <w:pStyle w:val="ListParagraph"/>
        <w:numPr>
          <w:ilvl w:val="0"/>
          <w:numId w:val="6"/>
        </w:numPr>
      </w:pPr>
      <w:r>
        <w:rPr>
          <w:b/>
        </w:rPr>
        <w:t>Semantic-aware Chunking</w:t>
      </w:r>
      <w:r>
        <w:t>: Redefine chunk boundaries by semantic features or learned patterns, not raw local content.</w:t>
      </w:r>
    </w:p>
    <w:p>
      <w:pPr>
        <w:pStyle w:val="ListParagraph"/>
        <w:numPr>
          <w:ilvl w:val="0"/>
          <w:numId w:val="6"/>
        </w:numPr>
      </w:pPr>
      <w:r>
        <w:rPr>
          <w:b/>
        </w:rPr>
        <w:t>Delta Encoding</w:t>
      </w:r>
      <w:r>
        <w:t>: Store differences (deltas) between consecutive hypervectors if they are highly correlated post-sparsification.</w:t>
      </w:r>
    </w:p>
    <w:p>
      <w:pPr>
        <w:pStyle w:val="ListParagraph"/>
        <w:numPr>
          <w:ilvl w:val="0"/>
          <w:numId w:val="6"/>
        </w:numPr>
      </w:pPr>
      <w:r>
        <w:rPr>
          <w:b/>
        </w:rPr>
        <w:t>Multi-Resolution CDC</w:t>
      </w:r>
      <w:r>
        <w:t>: Use multi-scale or overlapping windows to maximize alignment probability, albeit with higher computational cost.</w:t>
      </w:r>
    </w:p>
    <w:p>
      <w:r>
        <w:pict>
          <v:rect xmlns:o="urn:schemas-microsoft-com:office:office" xmlns:v="urn:schemas-microsoft-com:vml" style="height:.05pt;mso-width-percent:1000" o:hr="true" o:hrstd="true" o:hralign="center" fillcolor="A0A0A0" stroked="false"/>
        </w:pict>
      </w:r>
    </w:p>
    <w:p>
      <w:pPr>
        <w:pStyle w:val="heading2"/>
      </w:pPr>
      <w:r>
        <w:t>5. Robust Lyapunov Control from Data: Unknown, Time-Varying System Dynamics</w:t>
      </w:r>
    </w:p>
    <w:p>
      <w:pPr>
        <w:pStyle w:val="heading3"/>
      </w:pPr>
      <w:r>
        <w:t>5.1. Lyapunov Theory for Unknown and Time-Varying Systems</w:t>
      </w:r>
    </w:p>
    <w:p>
      <w:r>
        <w:t xml:space="preserve">Lyapunov approaches classically require a known (or at least static) dynamics matrix </w:t>
      </w:r>
      <w:r/>
      <w:r>
        <w:t>:</w:t>
      </w:r>
    </w:p>
    <w:p>
      <w:r>
        <w:t>[</w:t>
      </w:r>
      <w:r>
        <w:t xml:space="preserve"> </w:t>
      </w:r>
      <w:r>
        <w:t>\dot</w:t>
      </w:r>
      <w:r>
        <w:t xml:space="preserve"> = A(t)x + B(t)u</w:t>
      </w:r>
      <w:r>
        <w:t xml:space="preserve"> </w:t>
      </w:r>
      <w:r>
        <w:t>]</w:t>
      </w:r>
    </w:p>
    <w:p>
      <w:r>
        <w:t xml:space="preserve">where </w:t>
      </w:r>
      <w:r/>
      <w:r>
        <w:t xml:space="preserve"> is possibly time-varying. In modern learning systems, </w:t>
      </w:r>
      <w:r/>
      <w:r>
        <w:t xml:space="preserve"> is largely unknown or adapts due to learning, drift, or non-stationarity</w:t>
      </w:r>
      <w:r>
        <w:rPr>
          <w:vertAlign w:val="superscript"/>
        </w:rPr>
        <w:t>15</w:t>
      </w:r>
      <w:r>
        <w:t>.</w:t>
      </w:r>
    </w:p>
    <w:p>
      <w:pPr>
        <w:pStyle w:val="heading3"/>
      </w:pPr>
      <w:r>
        <w:t>5.2. Direct Lyapunov Function Synthesis</w:t>
      </w:r>
    </w:p>
    <w:p>
      <w:r>
        <w:rPr>
          <w:b/>
        </w:rPr>
        <w:t>Connection to Data-Driven and Adaptive Control:</w:t>
      </w:r>
      <w:r>
        <w:t xml:space="preserve"> When </w:t>
      </w:r>
      <w:r/>
      <w:r>
        <w:t xml:space="preserve"> is unknown, controller synthesis must proceed either via estimation (e.g., online system identification) or robust/adaptive design that tolerates bounded uncertainty.</w:t>
      </w:r>
      <w:r>
        <w:rPr>
          <w:vertAlign w:val="superscript"/>
        </w:rPr>
        <w:t>16</w:t>
      </w:r>
      <w:r>
        <w:rPr>
          <w:vertAlign w:val="superscript"/>
        </w:rPr>
        <w:t>17</w:t>
      </w:r>
    </w:p>
    <w:p>
      <w:pPr>
        <w:pStyle w:val="heading3"/>
      </w:pPr>
      <w:r>
        <w:t>5.2.1. Online System Identification</w:t>
      </w:r>
    </w:p>
    <w:p>
      <w:r>
        <w:t xml:space="preserve">Estimate </w:t>
      </w:r>
      <w:r/>
      <w:r>
        <w:t xml:space="preserve"> in real-time via recursive least squares or Kalman filtering:</w:t>
      </w:r>
    </w:p>
    <w:p>
      <w:pPr>
        <w:pStyle w:val="ListParagraph"/>
        <w:numPr>
          <w:ilvl w:val="0"/>
          <w:numId w:val="7"/>
        </w:numPr>
      </w:pPr>
      <w:r>
        <w:t xml:space="preserve">Sequentially update </w:t>
      </w:r>
      <w:r/>
      <w:r>
        <w:t xml:space="preserve"> estimate from observed </w:t>
      </w:r>
      <w:r/>
      <w:r>
        <w:t xml:space="preserve"> triples;</w:t>
      </w:r>
    </w:p>
    <w:p>
      <w:pPr>
        <w:pStyle w:val="ListParagraph"/>
        <w:numPr>
          <w:ilvl w:val="0"/>
          <w:numId w:val="7"/>
        </w:numPr>
      </w:pPr>
      <w:r>
        <w:t xml:space="preserve">Use uncertainty bounds on </w:t>
      </w:r>
      <w:r/>
      <w:r>
        <w:t xml:space="preserve"> to design robust controllers that stabilize all plausible </w:t>
      </w:r>
      <w:r/>
      <w:r>
        <w:t xml:space="preserve"> within some uncertainty ellipsoid.</w:t>
      </w:r>
      <w:r>
        <w:rPr>
          <w:vertAlign w:val="superscript"/>
        </w:rPr>
        <w:t>18</w:t>
      </w:r>
    </w:p>
    <w:p>
      <w:pPr>
        <w:pStyle w:val="heading3"/>
      </w:pPr>
      <w:r>
        <w:t>5.2.2. Robust Lyapunov Synthesis via LMIs</w:t>
      </w:r>
    </w:p>
    <w:p>
      <w:r>
        <w:t>The robust Lyapunov condition is</w:t>
      </w:r>
    </w:p>
    <w:p>
      <w:r>
        <w:t>[</w:t>
      </w:r>
      <w:r>
        <w:t xml:space="preserve"> </w:t>
      </w:r>
      <w:r>
        <w:t>\frac</w:t>
      </w:r>
      <w:r>
        <w:t>V(x) = \dot</w:t>
      </w:r>
      <w:r>
        <w:rPr>
          <w:vertAlign w:val="superscript"/>
        </w:rPr>
        <w:t>T P x + x</w:t>
      </w:r>
      <w:r>
        <w:t>T P \dot</w:t>
      </w:r>
      <w:r>
        <w:t xml:space="preserve"> &lt; 0 \quad \forall A \in \mathcal</w:t>
      </w:r>
      <w:r>
        <w:t xml:space="preserve"> </w:t>
      </w:r>
      <w:r>
        <w:t>]</w:t>
      </w:r>
    </w:p>
    <w:p>
      <w:r>
        <w:t xml:space="preserve">Seek </w:t>
      </w:r>
      <w:r/>
      <w:r>
        <w:t xml:space="preserve"> solving a Linear Matrix Inequality (LMI) over a set </w:t>
      </w:r>
      <w:r/>
      <w:r>
        <w:t xml:space="preserve"> of admissible </w:t>
      </w:r>
      <w:r/>
      <w:r>
        <w:t xml:space="preserve"> matrices (as identified above). Systematically, use methods from robust control/LMI literature to guarantee uniform stability despite </w:t>
      </w:r>
      <w:r/>
      <w:r>
        <w:t>’s uncertainties.</w:t>
      </w:r>
      <w:r>
        <w:rPr>
          <w:vertAlign w:val="superscript"/>
        </w:rPr>
        <w:t>19</w:t>
      </w:r>
      <w:r>
        <w:rPr>
          <w:vertAlign w:val="superscript"/>
        </w:rPr>
        <w:t>16</w:t>
      </w:r>
    </w:p>
    <w:p>
      <w:pPr>
        <w:pStyle w:val="heading3"/>
      </w:pPr>
      <w:r>
        <w:t>5.2.3. Adaptive and Learning-Based Controllers</w:t>
      </w:r>
    </w:p>
    <w:p>
      <w:r>
        <w:t xml:space="preserve">Deploy parameter-adaptive controllers that adjust their gains </w:t>
      </w:r>
      <w:r/>
      <w:r>
        <w:t xml:space="preserve"> using online performance data, with Lyapunov stability proven under specified adaptation rates and error bounds.</w:t>
      </w:r>
      <w:r>
        <w:rPr>
          <w:vertAlign w:val="superscript"/>
        </w:rPr>
        <w:t>16</w:t>
      </w:r>
      <w:r>
        <w:rPr>
          <w:vertAlign w:val="superscript"/>
        </w:rPr>
        <w:t>20</w:t>
      </w:r>
    </w:p>
    <w:p>
      <w:pPr>
        <w:pStyle w:val="heading3"/>
      </w:pPr>
      <w:r>
        <w:t>5.3. Modern Approaches: Data-Driven and Reinforcement Learning-Driven Synthesis</w:t>
      </w:r>
    </w:p>
    <w:p>
      <w:pPr>
        <w:pStyle w:val="ListParagraph"/>
        <w:numPr>
          <w:ilvl w:val="0"/>
          <w:numId w:val="8"/>
        </w:numPr>
      </w:pPr>
      <w:r>
        <w:rPr>
          <w:b/>
        </w:rPr>
        <w:t>Safe Policy Iteration</w:t>
      </w:r>
      <w:r>
        <w:t>: Recent approaches use reinforcement learning with integral Lyapunov critic penalty, penalizing all state trajectories whose surrogate Lyapunov fails to decay</w:t>
      </w:r>
      <w:r>
        <w:rPr>
          <w:vertAlign w:val="superscript"/>
        </w:rPr>
        <w:t>21</w:t>
      </w:r>
      <w:r>
        <w:t>.</w:t>
      </w:r>
    </w:p>
    <w:p>
      <w:pPr>
        <w:pStyle w:val="ListParagraph"/>
        <w:numPr>
          <w:ilvl w:val="0"/>
          <w:numId w:val="8"/>
        </w:numPr>
      </w:pPr>
      <w:r>
        <w:rPr>
          <w:b/>
        </w:rPr>
        <w:t>Non-parametric Models</w:t>
      </w:r>
      <w:r>
        <w:t xml:space="preserve">: Utilize neural networks or kernel methods to estimate </w:t>
      </w:r>
      <w:r/>
      <w:r>
        <w:t xml:space="preserve"> as a black box, and design controllers that enforce a learned Lyapunov decrease along observed trajectories, exploiting tools from safe RL and control theory</w:t>
      </w:r>
      <w:r>
        <w:rPr>
          <w:vertAlign w:val="superscript"/>
        </w:rPr>
        <w:t>15</w:t>
      </w:r>
      <w:r>
        <w:rPr>
          <w:vertAlign w:val="superscript"/>
        </w:rPr>
        <w:t>22</w:t>
      </w:r>
      <w:r>
        <w:t>.</w:t>
      </w:r>
    </w:p>
    <w:p>
      <w:pPr>
        <w:pStyle w:val="heading3"/>
      </w:pPr>
      <w:r>
        <w:t>5.4. Theoretical Guarantees and Open Issues</w:t>
      </w:r>
    </w:p>
    <w:p>
      <w:r>
        <w:t xml:space="preserve">No method generically guarantees global stability unless </w:t>
      </w:r>
      <w:r/>
      <w:r>
        <w:t xml:space="preserve"> lies within a well-characterized uncertainty set and system identification is persistently excited (viz., data informative enough to guarantee accurate estimation). Robust Lyapunov design is effective when uncertainties are </w:t>
      </w:r>
      <w:r>
        <w:rPr>
          <w:b/>
        </w:rPr>
        <w:t>structured</w:t>
      </w:r>
      <w:r>
        <w:t xml:space="preserve"> and </w:t>
      </w:r>
      <w:r>
        <w:rPr>
          <w:b/>
        </w:rPr>
        <w:t>bounded</w:t>
      </w:r>
      <w:r>
        <w:t xml:space="preserve">, but otherwise, risk of instability remains if </w:t>
      </w:r>
      <w:r/>
      <w:r>
        <w:t xml:space="preserve"> drifts arbitrarily or adaptation is too slow.</w:t>
      </w:r>
    </w:p>
    <w:p>
      <w:r>
        <w:pict>
          <v:rect xmlns:o="urn:schemas-microsoft-com:office:office" xmlns:v="urn:schemas-microsoft-com:vml" style="height:.05pt;mso-width-percent:1000" o:hr="true" o:hrstd="true" o:hralign="center" fillcolor="A0A0A0" stroked="false"/>
        </w:pict>
      </w:r>
    </w:p>
    <w:p>
      <w:pPr>
        <w:pStyle w:val="heading2"/>
      </w:pPr>
      <w:r>
        <w:t>Conclusion</w:t>
      </w:r>
    </w:p>
    <w:p>
      <w:r>
        <w:t>The advanced technical questions addressed herein cut across core themes in modern AI, computational neuroscience, and robust control engineering. For HNSW under dynamically learned metrics, the balance between responsiveness and topological stability hinges on incrementalism, compatibility heuristics, and sometimes, explicit local repair. Triangle inequality violations in quasi-metrics derived from HTLA weights pose quantifiable threats to search efficiency and recall, which can be empirically bounded and mitigated by metric regularization or repair. In computational consciousness science, validating efficient proxy measures for integrated information (Φ) demands both rigorous theoretical scrutiny and systematic empirical calibration against ground-truth models. Content-defined chunking, while powerful for classical structured data, faces severe limitations in deduplication for normalized, sparsified hypervectors due to entropy concentration and loss of local patterning; alternative chunking and differencing approaches offer only partial remedies. Finally, robust Lyapunov control in unknown, time-varying contexts represents the intersection of adaptive learning and classical control, and despite advances, guaranteeing stability requires a careful synthesis of online system identification, robust synthesis (e.g., via LMIs), and learning-theoretic safety margins.</w:t>
      </w:r>
    </w:p>
    <w:p>
      <w:r>
        <w:t>Addressing these challenges will require continued conceptual innovation-especially in blending learning, graph theory, information measures, and control-anchored by careful mathematical analysis and empirical benchmarking.</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(33)</w:t>
      </w:r>
    </w:p>
    <w:p>
      <w:r>
        <w:t xml:space="preserve">4. </w:t>
      </w:r>
      <w:r>
        <w:rPr>
          <w:i/>
        </w:rPr>
        <w:t>Understanding HNSW - Hierarchical Navigable Small World</w:t>
      </w:r>
      <w:r>
        <w:t xml:space="preserve">. </w:t>
      </w:r>
      <w:hyperlink xmlns:r="http://schemas.openxmlformats.org/officeDocument/2006/relationships" r:id="R76dd6ecd82324978">
        <w:r>
          <w:t>https://keyurramoliya.com/posts/Understading-HNSW-Hierarchical-Navigable-Small-World/</w:t>
        </w:r>
      </w:hyperlink>
    </w:p>
    <w:p>
      <w:r>
        <w:t xml:space="preserve">18. </w:t>
      </w:r>
      <w:r>
        <w:rPr>
          <w:i/>
        </w:rPr>
        <w:t>Adaptive Robust Model Predictive Control with Matched and Unmatched ...</w:t>
      </w:r>
      <w:r>
        <w:t xml:space="preserve">. </w:t>
      </w:r>
      <w:hyperlink xmlns:r="http://schemas.openxmlformats.org/officeDocument/2006/relationships" r:id="Rc8cf90fdb38a4918">
        <w:r>
          <w:t>https://arxiv.org/pdf/2104.08261</w:t>
        </w:r>
      </w:hyperlink>
    </w:p>
    <w:p>
      <w:r>
        <w:t xml:space="preserve">20. </w:t>
      </w:r>
      <w:r>
        <w:rPr>
          <w:i/>
        </w:rPr>
        <w:t>Online Identification of Time-Varying Systems Using Excitation Sets and ...</w:t>
      </w:r>
      <w:r>
        <w:t xml:space="preserve">. </w:t>
      </w:r>
      <w:hyperlink xmlns:r="http://schemas.openxmlformats.org/officeDocument/2006/relationships" r:id="Rd1ec60018e684527">
        <w:r>
          <w:t>https://arxiv.org/pdf/2406.10349</w:t>
        </w:r>
      </w:hyperlink>
    </w:p>
    <w:p>
      <w:r>
        <w:t xml:space="preserve">16. </w:t>
      </w:r>
      <w:r>
        <w:rPr>
          <w:i/>
        </w:rPr>
        <w:t>Adaptive Robust Tracking Control With Active Learning for Linear ...</w:t>
      </w:r>
      <w:r>
        <w:t xml:space="preserve">. </w:t>
      </w:r>
      <w:hyperlink xmlns:r="http://schemas.openxmlformats.org/officeDocument/2006/relationships" r:id="R63254476f07942b1">
        <w:r>
          <w:t>https://research.tue.nl/files/352412753/Adaptive_Robust_Tracking_Control_With_Active_Learning_for_Linear_Systems_With_Ellipsoidal_Bounded_Uncertainties.pdf</w:t>
        </w:r>
      </w:hyperlink>
    </w:p>
    <w:p>
      <w:r>
        <w:t xml:space="preserve">17. </w:t>
      </w:r>
      <w:r>
        <w:rPr>
          <w:i/>
        </w:rPr>
        <w:t>Lyapunov-Based Real-Time and Iterative Adjustment of Deep Neural Networks</w:t>
      </w:r>
      <w:r>
        <w:t xml:space="preserve">. </w:t>
      </w:r>
      <w:hyperlink xmlns:r="http://schemas.openxmlformats.org/officeDocument/2006/relationships" r:id="R6e89907f9d2e4341">
        <w:r>
          <w:t>https://ncr.mae.ufl.edu/papers/csl21.pdf</w:t>
        </w:r>
      </w:hyperlink>
    </w:p>
    <w:p>
      <w:r>
        <w:t xml:space="preserve">19. </w:t>
      </w:r>
      <w:r>
        <w:rPr>
          <w:i/>
        </w:rPr>
        <w:t>Optimization controller synthesis using adaptive robust control ...</w:t>
      </w:r>
      <w:r>
        <w:t xml:space="preserve">. </w:t>
      </w:r>
      <w:hyperlink xmlns:r="http://schemas.openxmlformats.org/officeDocument/2006/relationships" r:id="R6fb16e3250f340dc">
        <w:r>
          <w:t>https://rd.springer.com/content/pdf/10.1007/s11071-023-08750-x.pdf</w:t>
        </w:r>
      </w:hyperlink>
    </w:p>
    <w:p>
      <w:r>
        <w:t xml:space="preserve">13. </w:t>
      </w:r>
      <w:r>
        <w:rPr>
          <w:i/>
        </w:rPr>
        <w:t>Hyperdimensional computing: a framework for stochastic computation and ...</w:t>
      </w:r>
      <w:r>
        <w:t xml:space="preserve">. </w:t>
      </w:r>
      <w:hyperlink xmlns:r="http://schemas.openxmlformats.org/officeDocument/2006/relationships" r:id="R472635853b674ddd">
        <w:r>
          <w:t>https://journalofbigdata.springeropen.com/articles/10.1186/s40537-024-01010-8</w:t>
        </w:r>
      </w:hyperlink>
    </w:p>
    <w:p>
      <w:r>
        <w:t xml:space="preserve">14. </w:t>
      </w:r>
      <w:r>
        <w:rPr>
          <w:i/>
        </w:rPr>
        <w:t>Vectorized Sequence-Based Chunking for Data Deduplication</w:t>
      </w:r>
      <w:r>
        <w:t xml:space="preserve">. </w:t>
      </w:r>
      <w:hyperlink xmlns:r="http://schemas.openxmlformats.org/officeDocument/2006/relationships" r:id="R28c55417a47246d8">
        <w:r>
          <w:t>https://arxiv.org/html/2505.21194v1</w:t>
        </w:r>
      </w:hyperlink>
    </w:p>
    <w:p>
      <w:r>
        <w:t xml:space="preserve">15. </w:t>
      </w:r>
      <w:r>
        <w:rPr>
          <w:i/>
        </w:rPr>
        <w:t>Mastering Lyapunov Stability in Dynamical Systems</w:t>
      </w:r>
      <w:r>
        <w:t xml:space="preserve">. </w:t>
      </w:r>
      <w:hyperlink xmlns:r="http://schemas.openxmlformats.org/officeDocument/2006/relationships" r:id="R2e16e3f11a604545">
        <w:r>
          <w:t>https://www.numberanalytics.com/blog/lyapunov-stability-guide</w:t>
        </w:r>
      </w:hyperlink>
    </w:p>
    <w:p>
      <w:r>
        <w:t xml:space="preserve">22. </w:t>
      </w:r>
      <w:r>
        <w:rPr>
          <w:i/>
        </w:rPr>
        <w:t>Ch. 9 - Lyapunov Analysis</w:t>
      </w:r>
      <w:r>
        <w:t xml:space="preserve">. </w:t>
      </w:r>
      <w:hyperlink xmlns:r="http://schemas.openxmlformats.org/officeDocument/2006/relationships" r:id="R22e83cd57e954bc4">
        <w:r>
          <w:t>https://underactuated.mit.edu/lyapunov.html</w:t>
        </w:r>
      </w:hyperlink>
    </w:p>
    <w:p>
      <w:r>
        <w:t xml:space="preserve">11. </w:t>
      </w:r>
      <w:r>
        <w:rPr>
          <w:i/>
        </w:rPr>
        <w:t>Improving on Gear Hashing with FastCDC - Joshleeb</w:t>
      </w:r>
      <w:r>
        <w:t xml:space="preserve">. </w:t>
      </w:r>
      <w:hyperlink xmlns:r="http://schemas.openxmlformats.org/officeDocument/2006/relationships" r:id="R523f5bf73500447f">
        <w:r>
          <w:t>https://joshleeb.com/posts/fastcdc.html</w:t>
        </w:r>
      </w:hyperlink>
    </w:p>
    <w:p>
      <w:r>
        <w:t xml:space="preserve">12. </w:t>
      </w:r>
      <w:r>
        <w:rPr>
          <w:i/>
        </w:rPr>
        <w:t>SeqCDC: Hashless Content-Defined Chunking for Data Deduplication</w:t>
      </w:r>
      <w:r>
        <w:t xml:space="preserve">. </w:t>
      </w:r>
      <w:hyperlink xmlns:r="http://schemas.openxmlformats.org/officeDocument/2006/relationships" r:id="R485f9b7378d843e2">
        <w:r>
          <w:t>https://cs.uwaterloo.ca/~alkiswan/papers/SeqCDC_Middleware24.pdf</w:t>
        </w:r>
      </w:hyperlink>
    </w:p>
    <w:p>
      <w:r>
        <w:t xml:space="preserve">7. </w:t>
      </w:r>
      <w:r>
        <w:rPr>
          <w:i/>
        </w:rPr>
        <w:t>HNSW (Hierarchical Navigable Small World) - DeepWiki</w:t>
      </w:r>
      <w:r>
        <w:t xml:space="preserve">. </w:t>
      </w:r>
      <w:hyperlink xmlns:r="http://schemas.openxmlformats.org/officeDocument/2006/relationships" r:id="R951c95a4e5d14782">
        <w:r>
          <w:t>https://deepwiki.com/nmslib/nmslib/3.2.1-hnsw-%28hierarchical-navigable-small-world%29</w:t>
        </w:r>
      </w:hyperlink>
    </w:p>
    <w:p>
      <w:r>
        <w:t xml:space="preserve">8. </w:t>
      </w:r>
      <w:r>
        <w:rPr>
          <w:i/>
        </w:rPr>
        <w:t>Scaling Behaviour and Critical Phase Transitions in Integrated ...</w:t>
      </w:r>
      <w:r>
        <w:t xml:space="preserve">. </w:t>
      </w:r>
      <w:hyperlink xmlns:r="http://schemas.openxmlformats.org/officeDocument/2006/relationships" r:id="R369f3bf710954235">
        <w:r>
          <w:t>https://maguilera.net/blog/scaling-IIT.html</w:t>
        </w:r>
      </w:hyperlink>
    </w:p>
    <w:p>
      <w:r>
        <w:t xml:space="preserve">9. </w:t>
      </w:r>
      <w:r>
        <w:rPr>
          <w:i/>
        </w:rPr>
        <w:t>IIT_4.0_demo.ipynb - Colab - Google Colab</w:t>
      </w:r>
      <w:r>
        <w:t xml:space="preserve">. </w:t>
      </w:r>
      <w:hyperlink xmlns:r="http://schemas.openxmlformats.org/officeDocument/2006/relationships" r:id="R13f232eeff94459d">
        <w:r>
          <w:t>https://colab.research.google.com/github/wmayner/pyphi/blob/feature/iit-4.0/docs/examples/IIT_4.0_demo.ipynb</w:t>
        </w:r>
      </w:hyperlink>
    </w:p>
    <w:p>
      <w:r>
        <w:t xml:space="preserve">10. </w:t>
      </w:r>
      <w:r>
        <w:rPr>
          <w:i/>
        </w:rPr>
        <w:t>of Integrated Information - ResearchGate</w:t>
      </w:r>
      <w:r>
        <w:t xml:space="preserve">. </w:t>
      </w:r>
      <w:hyperlink xmlns:r="http://schemas.openxmlformats.org/officeDocument/2006/relationships" r:id="Rf05f15df7071404b">
        <w:r>
          <w:t>https://www.researchgate.net/publication/333366928_Evaluating_Approximations_and_Heuristic_Measures_of_Integrated_Information/fulltext/5ce8ae44458515712ebfcf79/Evaluating-Approximations-and-Heuristic-Measures-of-Integrated-Information.pdf</w:t>
        </w:r>
      </w:hyperlink>
    </w:p>
    <w:p>
      <w:r>
        <w:t xml:space="preserve">6. </w:t>
      </w:r>
      <w:r>
        <w:rPr>
          <w:i/>
        </w:rPr>
        <w:t>[</w:t>
      </w:r>
      <w:r>
        <w:t xml:space="preserve">. </w:t>
      </w:r>
      <w:hyperlink xmlns:r="http://schemas.openxmlformats.org/officeDocument/2006/relationships" r:id="R3824cc3786ee403f">
        <w:r>
          <w:t>https://arxiv.org/abs/2405.17813</w:t>
        </w:r>
      </w:hyperlink>
    </w:p>
    <w:p>
      <w:r>
        <w:t xml:space="preserve">5. </w:t>
      </w:r>
      <w:r>
        <w:rPr>
          <w:i/>
        </w:rPr>
        <w:t>[</w:t>
      </w:r>
      <w:r>
        <w:t xml:space="preserve">. </w:t>
      </w:r>
      <w:hyperlink xmlns:r="http://schemas.openxmlformats.org/officeDocument/2006/relationships" r:id="Rb00d28d14c18442d">
        <w:r>
          <w:t>https://arxiv.org/abs/2206.02204</w:t>
        </w:r>
      </w:hyperlink>
    </w:p>
    <w:p>
      <w:r>
        <w:t xml:space="preserve">3. </w:t>
      </w:r>
      <w:r>
        <w:rPr>
          <w:i/>
        </w:rPr>
        <w:t>Hierarchical navigable small world - Wikipedia</w:t>
      </w:r>
      <w:r>
        <w:t xml:space="preserve">. </w:t>
      </w:r>
      <w:hyperlink xmlns:r="http://schemas.openxmlformats.org/officeDocument/2006/relationships" r:id="Ra270ebd612434683">
        <w:r>
          <w:t>https://en.wikipedia.org/wiki/Hierarchical_navigable_small_world</w:t>
        </w:r>
      </w:hyperlink>
    </w:p>
    <w:p>
      <w:r>
        <w:t xml:space="preserve">1. </w:t>
      </w:r>
      <w:r>
        <w:rPr>
          <w:i/>
        </w:rPr>
        <w:t xml:space="preserve">HNSW </w:t>
      </w:r>
      <w:r>
        <w:t xml:space="preserve">. </w:t>
      </w:r>
      <w:hyperlink xmlns:r="http://schemas.openxmlformats.org/officeDocument/2006/relationships" r:id="Rd29f6f25620c4e0e">
        <w:r>
          <w:t>https://milvus.io/docs/hnsw.md</w:t>
        </w:r>
      </w:hyperlink>
    </w:p>
    <w:p>
      <w:r>
        <w:t xml:space="preserve">2. </w:t>
      </w:r>
      <w:r>
        <w:rPr>
          <w:i/>
        </w:rPr>
        <w:t>A practical guide to selecting HNSW hyperparameters</w:t>
      </w:r>
      <w:r>
        <w:t xml:space="preserve">. </w:t>
      </w:r>
      <w:hyperlink xmlns:r="http://schemas.openxmlformats.org/officeDocument/2006/relationships" r:id="R08425979641b49e8">
        <w:r>
          <w:t>https://opensearch.org/blog/a-practical-guide-to-selecting-hnsw-hyperparameters/</w:t>
        </w:r>
      </w:hyperlink>
    </w:p>
    <w:p>
      <w:r>
        <w:t xml:space="preserve">21. </w:t>
      </w:r>
      <w:r>
        <w:rPr>
          <w:i/>
        </w:rPr>
        <w:t>An efficient estimation of time-varying parameters of dynamic models by ...</w:t>
      </w:r>
      <w:r>
        <w:t xml:space="preserve">. </w:t>
      </w:r>
      <w:hyperlink xmlns:r="http://schemas.openxmlformats.org/officeDocument/2006/relationships" r:id="R9fca1f6b10104e8d">
        <w:r>
          <w:t>https://arxiv.org/pdf/2110.12522</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0"/>
  </w:num>
  <w:num w:numId="4">
    <w:abstractNumId w:val="1"/>
  </w:num>
  <w:num w:numId="5">
    <w:abstractNumId w:val="1"/>
  </w:num>
  <w:num w:numId="6">
    <w:abstractNumId w:val="1"/>
  </w:num>
  <w:num w:numId="7">
    <w:abstractNumId w:val="1"/>
  </w:num>
  <w:num w:numId="8">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e5f1d33d489e4231" /><Relationship Type="http://schemas.openxmlformats.org/officeDocument/2006/relationships/settings" Target="/word/settings.xml" Id="Rca2abc4bbfac4548" /><Relationship Type="http://schemas.openxmlformats.org/officeDocument/2006/relationships/styles" Target="/word/styles.xml" Id="R828b95e0ab8d4c92" /><Relationship Type="http://schemas.openxmlformats.org/officeDocument/2006/relationships/hyperlink" Target="https://keyurramoliya.com/posts/Understading-HNSW-Hierarchical-Navigable-Small-World/" TargetMode="External" Id="R76dd6ecd82324978" /><Relationship Type="http://schemas.openxmlformats.org/officeDocument/2006/relationships/hyperlink" Target="https://arxiv.org/pdf/2104.08261" TargetMode="External" Id="Rc8cf90fdb38a4918" /><Relationship Type="http://schemas.openxmlformats.org/officeDocument/2006/relationships/hyperlink" Target="https://arxiv.org/pdf/2406.10349" TargetMode="External" Id="Rd1ec60018e684527" /><Relationship Type="http://schemas.openxmlformats.org/officeDocument/2006/relationships/hyperlink" Target="https://research.tue.nl/files/352412753/Adaptive_Robust_Tracking_Control_With_Active_Learning_for_Linear_Systems_With_Ellipsoidal_Bounded_Uncertainties.pdf" TargetMode="External" Id="R63254476f07942b1" /><Relationship Type="http://schemas.openxmlformats.org/officeDocument/2006/relationships/hyperlink" Target="https://ncr.mae.ufl.edu/papers/csl21.pdf" TargetMode="External" Id="R6e89907f9d2e4341" /><Relationship Type="http://schemas.openxmlformats.org/officeDocument/2006/relationships/hyperlink" Target="https://rd.springer.com/content/pdf/10.1007/s11071-023-08750-x.pdf" TargetMode="External" Id="R6fb16e3250f340dc" /><Relationship Type="http://schemas.openxmlformats.org/officeDocument/2006/relationships/hyperlink" Target="https://journalofbigdata.springeropen.com/articles/10.1186/s40537-024-01010-8" TargetMode="External" Id="R472635853b674ddd" /><Relationship Type="http://schemas.openxmlformats.org/officeDocument/2006/relationships/hyperlink" Target="https://arxiv.org/html/2505.21194v1" TargetMode="External" Id="R28c55417a47246d8" /><Relationship Type="http://schemas.openxmlformats.org/officeDocument/2006/relationships/hyperlink" Target="https://www.numberanalytics.com/blog/lyapunov-stability-guide" TargetMode="External" Id="R2e16e3f11a604545" /><Relationship Type="http://schemas.openxmlformats.org/officeDocument/2006/relationships/hyperlink" Target="https://underactuated.mit.edu/lyapunov.html" TargetMode="External" Id="R22e83cd57e954bc4" /><Relationship Type="http://schemas.openxmlformats.org/officeDocument/2006/relationships/hyperlink" Target="https://joshleeb.com/posts/fastcdc.html" TargetMode="External" Id="R523f5bf73500447f" /><Relationship Type="http://schemas.openxmlformats.org/officeDocument/2006/relationships/hyperlink" Target="https://cs.uwaterloo.ca/~alkiswan/papers/SeqCDC_Middleware24.pdf" TargetMode="External" Id="R485f9b7378d843e2" /><Relationship Type="http://schemas.openxmlformats.org/officeDocument/2006/relationships/hyperlink" Target="https://deepwiki.com/nmslib/nmslib/3.2.1-hnsw-%28hierarchical-navigable-small-world%29" TargetMode="External" Id="R951c95a4e5d14782" /><Relationship Type="http://schemas.openxmlformats.org/officeDocument/2006/relationships/hyperlink" Target="https://maguilera.net/blog/scaling-IIT.html" TargetMode="External" Id="R369f3bf710954235" /><Relationship Type="http://schemas.openxmlformats.org/officeDocument/2006/relationships/hyperlink" Target="https://colab.research.google.com/github/wmayner/pyphi/blob/feature/iit-4.0/docs/examples/IIT_4.0_demo.ipynb" TargetMode="External" Id="R13f232eeff94459d" /><Relationship Type="http://schemas.openxmlformats.org/officeDocument/2006/relationships/hyperlink" Target="https://www.researchgate.net/publication/333366928_Evaluating_Approximations_and_Heuristic_Measures_of_Integrated_Information/fulltext/5ce8ae44458515712ebfcf79/Evaluating-Approximations-and-Heuristic-Measures-of-Integrated-Information.pdf" TargetMode="External" Id="Rf05f15df7071404b" /><Relationship Type="http://schemas.openxmlformats.org/officeDocument/2006/relationships/hyperlink" Target="https://arxiv.org/abs/2405.17813" TargetMode="External" Id="R3824cc3786ee403f" /><Relationship Type="http://schemas.openxmlformats.org/officeDocument/2006/relationships/hyperlink" Target="https://arxiv.org/abs/2206.02204" TargetMode="External" Id="Rb00d28d14c18442d" /><Relationship Type="http://schemas.openxmlformats.org/officeDocument/2006/relationships/hyperlink" Target="https://en.wikipedia.org/wiki/Hierarchical_navigable_small_world" TargetMode="External" Id="Ra270ebd612434683" /><Relationship Type="http://schemas.openxmlformats.org/officeDocument/2006/relationships/hyperlink" Target="https://milvus.io/docs/hnsw.md" TargetMode="External" Id="Rd29f6f25620c4e0e" /><Relationship Type="http://schemas.openxmlformats.org/officeDocument/2006/relationships/hyperlink" Target="https://opensearch.org/blog/a-practical-guide-to-selecting-hnsw-hyperparameters/" TargetMode="External" Id="R08425979641b49e8" /><Relationship Type="http://schemas.openxmlformats.org/officeDocument/2006/relationships/hyperlink" Target="https://arxiv.org/pdf/2110.12522" TargetMode="External" Id="R9fca1f6b10104e8d"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