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Divergent</w:t>
      </w:r>
      <w:r>
        <w:t xml:space="preserve"> </w:t>
      </w:r>
      <w:r>
        <w:t xml:space="preserve">Hypothesis</w:t>
      </w:r>
      <w:r>
        <w:t xml:space="preserve"> </w:t>
      </w:r>
      <w:r>
        <w:t xml:space="preserve">Dynamics</w:t>
      </w:r>
    </w:p>
    <w:p>
      <w:pPr>
        <w:pStyle w:val="Subtitle"/>
      </w:pPr>
      <w:r>
        <w:t xml:space="preserve">Controlled</w:t>
      </w:r>
      <w:r>
        <w:t xml:space="preserve"> </w:t>
      </w:r>
      <w:r>
        <w:t xml:space="preserve">Exploratory</w:t>
      </w:r>
      <w:r>
        <w:t xml:space="preserve"> </w:t>
      </w:r>
      <w:r>
        <w:t xml:space="preserve">Cognition</w:t>
      </w:r>
      <w:r>
        <w:t xml:space="preserve"> </w:t>
      </w:r>
      <w:r>
        <w:t xml:space="preserve">over</w:t>
      </w:r>
      <w:r>
        <w:t xml:space="preserve"> </w:t>
      </w:r>
      <w:r>
        <w:t xml:space="preserve">Heterogeneous</w:t>
      </w:r>
      <w:r>
        <w:t xml:space="preserve"> </w:t>
      </w:r>
      <w:r>
        <w:t xml:space="preserve">Model</w:t>
      </w:r>
      <w:r>
        <w:t xml:space="preserve"> </w:t>
      </w:r>
      <w:r>
        <w:t xml:space="preserve">Spaces</w:t>
      </w:r>
    </w:p>
    <w:p>
      <w:pPr>
        <w:pStyle w:val="Author"/>
      </w:pPr>
      <w:r>
        <w:t xml:space="preserve">DogeOmegaRACLE</w:t>
      </w:r>
      <w:r>
        <w:t xml:space="preserve"> </w:t>
      </w:r>
      <w:r>
        <w:t xml:space="preserve">Project</w:t>
      </w:r>
    </w:p>
    <w:p>
      <w:pPr>
        <w:pStyle w:val="Date"/>
      </w:pPr>
      <w:r>
        <w:t xml:space="preserve">Version</w:t>
      </w:r>
      <w:r>
        <w:t xml:space="preserve"> </w:t>
      </w:r>
      <w:r>
        <w:t xml:space="preserve">1.0</w:t>
      </w:r>
      <w:r>
        <w:t xml:space="preserve"> </w:t>
      </w:r>
      <w:r>
        <w:t xml:space="preserve">-</w:t>
      </w:r>
      <w:r>
        <w:t xml:space="preserve"> </w:t>
      </w:r>
      <w:r>
        <w:t xml:space="preserve">September</w:t>
      </w:r>
      <w:r>
        <w:t xml:space="preserve"> </w:t>
      </w:r>
      <w:r>
        <w:t xml:space="preserve">2026</w:t>
      </w:r>
    </w:p>
    <w:p>
      <w:pPr>
        <w:pStyle w:val="AbstractTitle"/>
      </w:pPr>
      <w:r>
        <w:t xml:space="preserve">Abstract</w:t>
      </w:r>
    </w:p>
    <w:p>
      <w:pPr>
        <w:pStyle w:val="Abstract"/>
      </w:pPr>
      <w:r>
        <w:t xml:space="preserve">Divergent</w:t>
      </w:r>
      <w:r>
        <w:t xml:space="preserve"> </w:t>
      </w:r>
      <w:r>
        <w:t xml:space="preserve">Hypothesis</w:t>
      </w:r>
      <w:r>
        <w:t xml:space="preserve"> </w:t>
      </w:r>
      <w:r>
        <w:t xml:space="preserve">Dynamics</w:t>
      </w:r>
      <w:r>
        <w:t xml:space="preserve"> </w:t>
      </w:r>
      <w:r>
        <w:t xml:space="preserve">(DHD)</w:t>
      </w:r>
      <w:r>
        <w:t xml:space="preserve"> </w:t>
      </w:r>
      <w:r>
        <w:t xml:space="preserve">is</w:t>
      </w:r>
      <w:r>
        <w:t xml:space="preserve"> </w:t>
      </w:r>
      <w:r>
        <w:t xml:space="preserve">a</w:t>
      </w:r>
      <w:r>
        <w:t xml:space="preserve"> </w:t>
      </w:r>
      <w:r>
        <w:t xml:space="preserve">mathematical</w:t>
      </w:r>
      <w:r>
        <w:t xml:space="preserve"> </w:t>
      </w:r>
      <w:r>
        <w:t xml:space="preserve">framework</w:t>
      </w:r>
      <w:r>
        <w:t xml:space="preserve"> </w:t>
      </w:r>
      <w:r>
        <w:t xml:space="preserve">for</w:t>
      </w:r>
      <w:r>
        <w:t xml:space="preserve"> </w:t>
      </w:r>
      <w:r>
        <w:t xml:space="preserve">exploratory</w:t>
      </w:r>
      <w:r>
        <w:t xml:space="preserve"> </w:t>
      </w:r>
      <w:r>
        <w:t xml:space="preserve">cognition:</w:t>
      </w:r>
      <w:r>
        <w:t xml:space="preserve"> </w:t>
      </w:r>
      <w:r>
        <w:t xml:space="preserve">the</w:t>
      </w:r>
      <w:r>
        <w:t xml:space="preserve"> </w:t>
      </w:r>
      <w:r>
        <w:t xml:space="preserve">deliberate</w:t>
      </w:r>
      <w:r>
        <w:t xml:space="preserve"> </w:t>
      </w:r>
      <w:r>
        <w:t xml:space="preserve">generation,</w:t>
      </w:r>
      <w:r>
        <w:t xml:space="preserve"> </w:t>
      </w:r>
      <w:r>
        <w:t xml:space="preserve">mutation,</w:t>
      </w:r>
      <w:r>
        <w:t xml:space="preserve"> </w:t>
      </w:r>
      <w:r>
        <w:t xml:space="preserve">retention,</w:t>
      </w:r>
      <w:r>
        <w:t xml:space="preserve"> </w:t>
      </w:r>
      <w:r>
        <w:t xml:space="preserve">and</w:t>
      </w:r>
      <w:r>
        <w:t xml:space="preserve"> </w:t>
      </w:r>
      <w:r>
        <w:t xml:space="preserve">provenance</w:t>
      </w:r>
      <w:r>
        <w:t xml:space="preserve"> </w:t>
      </w:r>
      <w:r>
        <w:t xml:space="preserve">tracking</w:t>
      </w:r>
      <w:r>
        <w:t xml:space="preserve"> </w:t>
      </w:r>
      <w:r>
        <w:t xml:space="preserve">of</w:t>
      </w:r>
      <w:r>
        <w:t xml:space="preserve"> </w:t>
      </w:r>
      <w:r>
        <w:t xml:space="preserve">a</w:t>
      </w:r>
      <w:r>
        <w:t xml:space="preserve"> </w:t>
      </w:r>
      <w:r>
        <w:t xml:space="preserve">heterogeneous</w:t>
      </w:r>
      <w:r>
        <w:t xml:space="preserve"> </w:t>
      </w:r>
      <w:r>
        <w:t xml:space="preserve">population</w:t>
      </w:r>
      <w:r>
        <w:t xml:space="preserve"> </w:t>
      </w:r>
      <w:r>
        <w:t xml:space="preserve">of</w:t>
      </w:r>
      <w:r>
        <w:t xml:space="preserve"> </w:t>
      </w:r>
      <w:r>
        <w:t xml:space="preserve">executable</w:t>
      </w:r>
      <w:r>
        <w:t xml:space="preserve"> </w:t>
      </w:r>
      <w:r>
        <w:t xml:space="preserve">hypotheses</w:t>
      </w:r>
      <w:r>
        <w:t xml:space="preserve"> </w:t>
      </w:r>
      <w:r>
        <w:t xml:space="preserve">without</w:t>
      </w:r>
      <w:r>
        <w:t xml:space="preserve"> </w:t>
      </w:r>
      <w:r>
        <w:t xml:space="preserve">treating</w:t>
      </w:r>
      <w:r>
        <w:t xml:space="preserve"> </w:t>
      </w:r>
      <w:r>
        <w:t xml:space="preserve">generation</w:t>
      </w:r>
      <w:r>
        <w:t xml:space="preserve"> </w:t>
      </w:r>
      <w:r>
        <w:t xml:space="preserve">as</w:t>
      </w:r>
      <w:r>
        <w:t xml:space="preserve"> </w:t>
      </w:r>
      <w:r>
        <w:t xml:space="preserve">belief.</w:t>
      </w:r>
      <w:r>
        <w:t xml:space="preserve"> </w:t>
      </w:r>
      <w:r>
        <w:t xml:space="preserve">The</w:t>
      </w:r>
      <w:r>
        <w:t xml:space="preserve"> </w:t>
      </w:r>
      <w:r>
        <w:t xml:space="preserve">framework</w:t>
      </w:r>
      <w:r>
        <w:t xml:space="preserve"> </w:t>
      </w:r>
      <w:r>
        <w:t xml:space="preserve">is</w:t>
      </w:r>
      <w:r>
        <w:t xml:space="preserve"> </w:t>
      </w:r>
      <w:r>
        <w:t xml:space="preserve">motivated</w:t>
      </w:r>
      <w:r>
        <w:t xml:space="preserve"> </w:t>
      </w:r>
      <w:r>
        <w:t xml:space="preserve">by</w:t>
      </w:r>
      <w:r>
        <w:t xml:space="preserve"> </w:t>
      </w:r>
      <w:r>
        <w:t xml:space="preserve">nonstationary</w:t>
      </w:r>
      <w:r>
        <w:t xml:space="preserve"> </w:t>
      </w:r>
      <w:r>
        <w:t xml:space="preserve">and</w:t>
      </w:r>
      <w:r>
        <w:t xml:space="preserve"> </w:t>
      </w:r>
      <w:r>
        <w:t xml:space="preserve">reflexive</w:t>
      </w:r>
      <w:r>
        <w:t xml:space="preserve"> </w:t>
      </w:r>
      <w:r>
        <w:t xml:space="preserve">environments</w:t>
      </w:r>
      <w:r>
        <w:t xml:space="preserve"> </w:t>
      </w:r>
      <w:r>
        <w:t xml:space="preserve">in</w:t>
      </w:r>
      <w:r>
        <w:t xml:space="preserve"> </w:t>
      </w:r>
      <w:r>
        <w:t xml:space="preserve">which</w:t>
      </w:r>
      <w:r>
        <w:t xml:space="preserve"> </w:t>
      </w:r>
      <w:r>
        <w:t xml:space="preserve">a</w:t>
      </w:r>
      <w:r>
        <w:t xml:space="preserve"> </w:t>
      </w:r>
      <w:r>
        <w:t xml:space="preserve">conventional</w:t>
      </w:r>
      <w:r>
        <w:t xml:space="preserve"> </w:t>
      </w:r>
      <w:r>
        <w:t xml:space="preserve">inference</w:t>
      </w:r>
      <w:r>
        <w:t xml:space="preserve"> </w:t>
      </w:r>
      <w:r>
        <w:t xml:space="preserve">system</w:t>
      </w:r>
      <w:r>
        <w:t xml:space="preserve"> </w:t>
      </w:r>
      <w:r>
        <w:t xml:space="preserve">can</w:t>
      </w:r>
      <w:r>
        <w:t xml:space="preserve"> </w:t>
      </w:r>
      <w:r>
        <w:t xml:space="preserve">become</w:t>
      </w:r>
      <w:r>
        <w:t xml:space="preserve"> </w:t>
      </w:r>
      <w:r>
        <w:t xml:space="preserve">locally</w:t>
      </w:r>
      <w:r>
        <w:t xml:space="preserve"> </w:t>
      </w:r>
      <w:r>
        <w:t xml:space="preserve">coherent</w:t>
      </w:r>
      <w:r>
        <w:t xml:space="preserve"> </w:t>
      </w:r>
      <w:r>
        <w:t xml:space="preserve">yet</w:t>
      </w:r>
      <w:r>
        <w:t xml:space="preserve"> </w:t>
      </w:r>
      <w:r>
        <w:t xml:space="preserve">globally</w:t>
      </w:r>
      <w:r>
        <w:t xml:space="preserve"> </w:t>
      </w:r>
      <w:r>
        <w:t xml:space="preserve">myopic</w:t>
      </w:r>
      <w:r>
        <w:t xml:space="preserve"> </w:t>
      </w:r>
      <w:r>
        <w:t xml:space="preserve">because</w:t>
      </w:r>
      <w:r>
        <w:t xml:space="preserve"> </w:t>
      </w:r>
      <w:r>
        <w:t xml:space="preserve">the</w:t>
      </w:r>
      <w:r>
        <w:t xml:space="preserve"> </w:t>
      </w:r>
      <w:r>
        <w:t xml:space="preserve">useful</w:t>
      </w:r>
      <w:r>
        <w:t xml:space="preserve"> </w:t>
      </w:r>
      <w:r>
        <w:t xml:space="preserve">explanatory</w:t>
      </w:r>
      <w:r>
        <w:t xml:space="preserve"> </w:t>
      </w:r>
      <w:r>
        <w:t xml:space="preserve">model</w:t>
      </w:r>
      <w:r>
        <w:t xml:space="preserve"> </w:t>
      </w:r>
      <w:r>
        <w:t xml:space="preserve">lies</w:t>
      </w:r>
      <w:r>
        <w:t xml:space="preserve"> </w:t>
      </w:r>
      <w:r>
        <w:t xml:space="preserve">outside</w:t>
      </w:r>
      <w:r>
        <w:t xml:space="preserve"> </w:t>
      </w:r>
      <w:r>
        <w:t xml:space="preserve">its</w:t>
      </w:r>
      <w:r>
        <w:t xml:space="preserve"> </w:t>
      </w:r>
      <w:r>
        <w:t xml:space="preserve">currently</w:t>
      </w:r>
      <w:r>
        <w:t xml:space="preserve"> </w:t>
      </w:r>
      <w:r>
        <w:t xml:space="preserve">favored</w:t>
      </w:r>
      <w:r>
        <w:t xml:space="preserve"> </w:t>
      </w:r>
      <w:r>
        <w:t xml:space="preserve">family.</w:t>
      </w:r>
      <w:r>
        <w:t xml:space="preserve"> </w:t>
      </w:r>
      <w:r>
        <w:t xml:space="preserve">DHD</w:t>
      </w:r>
      <w:r>
        <w:t xml:space="preserve"> </w:t>
      </w:r>
      <w:r>
        <w:t xml:space="preserve">therefore</w:t>
      </w:r>
      <w:r>
        <w:t xml:space="preserve"> </w:t>
      </w:r>
      <w:r>
        <w:t xml:space="preserve">separates</w:t>
      </w:r>
      <w:r>
        <w:t xml:space="preserve"> </w:t>
      </w:r>
      <w:r>
        <w:t xml:space="preserve">model-space</w:t>
      </w:r>
      <w:r>
        <w:t xml:space="preserve"> </w:t>
      </w:r>
      <w:r>
        <w:t xml:space="preserve">exploration</w:t>
      </w:r>
      <w:r>
        <w:t xml:space="preserve"> </w:t>
      </w:r>
      <w:r>
        <w:t xml:space="preserve">from</w:t>
      </w:r>
      <w:r>
        <w:t xml:space="preserve"> </w:t>
      </w:r>
      <w:r>
        <w:t xml:space="preserve">epistemic</w:t>
      </w:r>
      <w:r>
        <w:t xml:space="preserve"> </w:t>
      </w:r>
      <w:r>
        <w:t xml:space="preserve">adjudication.</w:t>
      </w:r>
      <w:r>
        <w:t xml:space="preserve"> </w:t>
      </w:r>
      <w:r>
        <w:t xml:space="preserve">A</w:t>
      </w:r>
      <w:r>
        <w:t xml:space="preserve"> </w:t>
      </w:r>
      <w:r>
        <w:t xml:space="preserve">hypothesis</w:t>
      </w:r>
      <w:r>
        <w:t xml:space="preserve"> </w:t>
      </w:r>
      <w:r>
        <w:t xml:space="preserve">is</w:t>
      </w:r>
      <w:r>
        <w:t xml:space="preserve"> </w:t>
      </w:r>
      <w:r>
        <w:t xml:space="preserve">a</w:t>
      </w:r>
      <w:r>
        <w:t xml:space="preserve"> </w:t>
      </w:r>
      <w:r>
        <w:t xml:space="preserve">typed</w:t>
      </w:r>
      <w:r>
        <w:t xml:space="preserve"> </w:t>
      </w:r>
      <w:r>
        <w:t xml:space="preserve">executable</w:t>
      </w:r>
      <w:r>
        <w:t xml:space="preserve"> </w:t>
      </w:r>
      <w:r>
        <w:t xml:space="preserve">object</w:t>
      </w:r>
      <w:r>
        <w:t xml:space="preserve"> </w:t>
      </w:r>
      <w:r>
        <w:t xml:space="preserve">in</w:t>
      </w:r>
      <w:r>
        <w:t xml:space="preserve"> </w:t>
      </w:r>
      <w:r>
        <w:t xml:space="preserve">a</w:t>
      </w:r>
      <w:r>
        <w:t xml:space="preserve"> </w:t>
      </w:r>
      <w:r>
        <w:t xml:space="preserve">coproduct</w:t>
      </w:r>
      <w:r>
        <w:t xml:space="preserve"> </w:t>
      </w:r>
      <w:r>
        <w:t xml:space="preserve">of</w:t>
      </w:r>
      <w:r>
        <w:t xml:space="preserve"> </w:t>
      </w:r>
      <w:r>
        <w:t xml:space="preserve">model</w:t>
      </w:r>
      <w:r>
        <w:t xml:space="preserve"> </w:t>
      </w:r>
      <w:r>
        <w:t xml:space="preserve">families;</w:t>
      </w:r>
      <w:r>
        <w:t xml:space="preserve"> </w:t>
      </w:r>
      <w:r>
        <w:t xml:space="preserve">generators</w:t>
      </w:r>
      <w:r>
        <w:t xml:space="preserve"> </w:t>
      </w:r>
      <w:r>
        <w:t xml:space="preserve">are</w:t>
      </w:r>
      <w:r>
        <w:t xml:space="preserve"> </w:t>
      </w:r>
      <w:r>
        <w:t xml:space="preserve">typed</w:t>
      </w:r>
      <w:r>
        <w:t xml:space="preserve"> </w:t>
      </w:r>
      <w:r>
        <w:t xml:space="preserve">partial</w:t>
      </w:r>
      <w:r>
        <w:t xml:space="preserve"> </w:t>
      </w:r>
      <w:r>
        <w:t xml:space="preserve">stochastic</w:t>
      </w:r>
      <w:r>
        <w:t xml:space="preserve"> </w:t>
      </w:r>
      <w:r>
        <w:t xml:space="preserve">maps;</w:t>
      </w:r>
      <w:r>
        <w:t xml:space="preserve"> </w:t>
      </w:r>
      <w:r>
        <w:t xml:space="preserve">comparison</w:t>
      </w:r>
      <w:r>
        <w:t xml:space="preserve"> </w:t>
      </w:r>
      <w:r>
        <w:t xml:space="preserve">is</w:t>
      </w:r>
      <w:r>
        <w:t xml:space="preserve"> </w:t>
      </w:r>
      <w:r>
        <w:t xml:space="preserve">multi-view</w:t>
      </w:r>
      <w:r>
        <w:t xml:space="preserve"> </w:t>
      </w:r>
      <w:r>
        <w:t xml:space="preserve">rather</w:t>
      </w:r>
      <w:r>
        <w:t xml:space="preserve"> </w:t>
      </w:r>
      <w:r>
        <w:t xml:space="preserve">than</w:t>
      </w:r>
      <w:r>
        <w:t xml:space="preserve"> </w:t>
      </w:r>
      <w:r>
        <w:t xml:space="preserve">a</w:t>
      </w:r>
      <w:r>
        <w:t xml:space="preserve"> </w:t>
      </w:r>
      <w:r>
        <w:t xml:space="preserve">universal</w:t>
      </w:r>
      <w:r>
        <w:t xml:space="preserve"> </w:t>
      </w:r>
      <w:r>
        <w:t xml:space="preserve">scalar</w:t>
      </w:r>
      <w:r>
        <w:t xml:space="preserve"> </w:t>
      </w:r>
      <w:r>
        <w:t xml:space="preserve">distance;</w:t>
      </w:r>
      <w:r>
        <w:t xml:space="preserve"> </w:t>
      </w:r>
      <w:r>
        <w:t xml:space="preserve">and</w:t>
      </w:r>
      <w:r>
        <w:t xml:space="preserve"> </w:t>
      </w:r>
      <w:r>
        <w:t xml:space="preserve">population</w:t>
      </w:r>
      <w:r>
        <w:t xml:space="preserve"> </w:t>
      </w:r>
      <w:r>
        <w:t xml:space="preserve">control</w:t>
      </w:r>
      <w:r>
        <w:t xml:space="preserve"> </w:t>
      </w:r>
      <w:r>
        <w:t xml:space="preserve">is</w:t>
      </w:r>
      <w:r>
        <w:t xml:space="preserve"> </w:t>
      </w:r>
      <w:r>
        <w:t xml:space="preserve">performed</w:t>
      </w:r>
      <w:r>
        <w:t xml:space="preserve"> </w:t>
      </w:r>
      <w:r>
        <w:t xml:space="preserve">by</w:t>
      </w:r>
      <w:r>
        <w:t xml:space="preserve"> </w:t>
      </w:r>
      <w:r>
        <w:t xml:space="preserve">a</w:t>
      </w:r>
      <w:r>
        <w:t xml:space="preserve"> </w:t>
      </w:r>
      <w:r>
        <w:t xml:space="preserve">novelty/coverage</w:t>
      </w:r>
      <w:r>
        <w:t xml:space="preserve"> </w:t>
      </w:r>
      <w:r>
        <w:t xml:space="preserve">archive</w:t>
      </w:r>
      <w:r>
        <w:t xml:space="preserve"> </w:t>
      </w:r>
      <w:r>
        <w:t xml:space="preserve">under</w:t>
      </w:r>
      <w:r>
        <w:t xml:space="preserve"> </w:t>
      </w:r>
      <w:r>
        <w:t xml:space="preserve">explicit</w:t>
      </w:r>
      <w:r>
        <w:t xml:space="preserve"> </w:t>
      </w:r>
      <w:r>
        <w:t xml:space="preserve">compute,</w:t>
      </w:r>
      <w:r>
        <w:t xml:space="preserve"> </w:t>
      </w:r>
      <w:r>
        <w:t xml:space="preserve">memory,</w:t>
      </w:r>
      <w:r>
        <w:t xml:space="preserve"> </w:t>
      </w:r>
      <w:r>
        <w:t xml:space="preserve">and</w:t>
      </w:r>
      <w:r>
        <w:t xml:space="preserve"> </w:t>
      </w:r>
      <w:r>
        <w:t xml:space="preserve">latency</w:t>
      </w:r>
      <w:r>
        <w:t xml:space="preserve"> </w:t>
      </w:r>
      <w:r>
        <w:t xml:space="preserve">budgets.</w:t>
      </w:r>
      <w:r>
        <w:t xml:space="preserve"> </w:t>
      </w:r>
      <w:r>
        <w:t xml:space="preserve">The</w:t>
      </w:r>
      <w:r>
        <w:t xml:space="preserve"> </w:t>
      </w:r>
      <w:r>
        <w:t xml:space="preserve">system</w:t>
      </w:r>
      <w:r>
        <w:t xml:space="preserve"> </w:t>
      </w:r>
      <w:r>
        <w:t xml:space="preserve">is</w:t>
      </w:r>
      <w:r>
        <w:t xml:space="preserve"> </w:t>
      </w:r>
      <w:r>
        <w:t xml:space="preserve">externally</w:t>
      </w:r>
      <w:r>
        <w:t xml:space="preserve"> </w:t>
      </w:r>
      <w:r>
        <w:t xml:space="preserve">metacontrolled</w:t>
      </w:r>
      <w:r>
        <w:t xml:space="preserve"> </w:t>
      </w:r>
      <w:r>
        <w:t xml:space="preserve">by</w:t>
      </w:r>
      <w:r>
        <w:t xml:space="preserve"> </w:t>
      </w:r>
      <w:r>
        <w:t xml:space="preserve">Psychotic</w:t>
      </w:r>
      <w:r>
        <w:t xml:space="preserve"> </w:t>
      </w:r>
      <w:r>
        <w:t xml:space="preserve">Decision</w:t>
      </w:r>
      <w:r>
        <w:t xml:space="preserve"> </w:t>
      </w:r>
      <w:r>
        <w:t xml:space="preserve">Calculus</w:t>
      </w:r>
      <w:r>
        <w:t xml:space="preserve"> </w:t>
      </w:r>
      <w:r>
        <w:t xml:space="preserve">(PDC)</w:t>
      </w:r>
      <w:r>
        <w:t xml:space="preserve"> </w:t>
      </w:r>
      <w:r>
        <w:t xml:space="preserve">through</w:t>
      </w:r>
      <w:r>
        <w:t xml:space="preserve"> </w:t>
      </w:r>
      <w:r>
        <w:t xml:space="preserve">a</w:t>
      </w:r>
      <w:r>
        <w:t xml:space="preserve"> </w:t>
      </w:r>
      <w:r>
        <w:t xml:space="preserve">control</w:t>
      </w:r>
      <w:r>
        <w:t xml:space="preserve"> </w:t>
      </w:r>
      <w:r>
        <w:t xml:space="preserve">tuple</w:t>
      </w:r>
      <w:r>
        <w:t xml:space="preserve"> </w:t>
      </w:r>
      <w:r>
        <w:t xml:space="preserve">that</w:t>
      </w:r>
      <w:r>
        <w:t xml:space="preserve"> </w:t>
      </w:r>
      <w:r>
        <w:t xml:space="preserve">independently</w:t>
      </w:r>
      <w:r>
        <w:t xml:space="preserve"> </w:t>
      </w:r>
      <w:r>
        <w:t xml:space="preserve">specifies</w:t>
      </w:r>
      <w:r>
        <w:t xml:space="preserve"> </w:t>
      </w:r>
      <w:r>
        <w:t xml:space="preserve">generator</w:t>
      </w:r>
      <w:r>
        <w:t xml:space="preserve"> </w:t>
      </w:r>
      <w:r>
        <w:t xml:space="preserve">allocation,</w:t>
      </w:r>
      <w:r>
        <w:t xml:space="preserve"> </w:t>
      </w:r>
      <w:r>
        <w:t xml:space="preserve">mutation</w:t>
      </w:r>
      <w:r>
        <w:t xml:space="preserve"> </w:t>
      </w:r>
      <w:r>
        <w:t xml:space="preserve">magnitude,</w:t>
      </w:r>
      <w:r>
        <w:t xml:space="preserve"> </w:t>
      </w:r>
      <w:r>
        <w:t xml:space="preserve">resource</w:t>
      </w:r>
      <w:r>
        <w:t xml:space="preserve"> </w:t>
      </w:r>
      <w:r>
        <w:t xml:space="preserve">budget,</w:t>
      </w:r>
      <w:r>
        <w:t xml:space="preserve"> </w:t>
      </w:r>
      <w:r>
        <w:t xml:space="preserve">and</w:t>
      </w:r>
      <w:r>
        <w:t xml:space="preserve"> </w:t>
      </w:r>
      <w:r>
        <w:t xml:space="preserve">archive</w:t>
      </w:r>
      <w:r>
        <w:t xml:space="preserve"> </w:t>
      </w:r>
      <w:r>
        <w:t xml:space="preserve">breadth.</w:t>
      </w:r>
      <w:r>
        <w:t xml:space="preserve"> </w:t>
      </w:r>
      <w:r>
        <w:t xml:space="preserve">DHD</w:t>
      </w:r>
      <w:r>
        <w:t xml:space="preserve"> </w:t>
      </w:r>
      <w:r>
        <w:t xml:space="preserve">itself</w:t>
      </w:r>
      <w:r>
        <w:t xml:space="preserve"> </w:t>
      </w:r>
      <w:r>
        <w:t xml:space="preserve">does</w:t>
      </w:r>
      <w:r>
        <w:t xml:space="preserve"> </w:t>
      </w:r>
      <w:r>
        <w:t xml:space="preserve">not</w:t>
      </w:r>
      <w:r>
        <w:t xml:space="preserve"> </w:t>
      </w:r>
      <w:r>
        <w:t xml:space="preserve">assign</w:t>
      </w:r>
      <w:r>
        <w:t xml:space="preserve"> </w:t>
      </w:r>
      <w:r>
        <w:t xml:space="preserve">posterior</w:t>
      </w:r>
      <w:r>
        <w:t xml:space="preserve"> </w:t>
      </w:r>
      <w:r>
        <w:t xml:space="preserve">belief,</w:t>
      </w:r>
      <w:r>
        <w:t xml:space="preserve"> </w:t>
      </w:r>
      <w:r>
        <w:t xml:space="preserve">select</w:t>
      </w:r>
      <w:r>
        <w:t xml:space="preserve"> </w:t>
      </w:r>
      <w:r>
        <w:t xml:space="preserve">trades,</w:t>
      </w:r>
      <w:r>
        <w:t xml:space="preserve"> </w:t>
      </w:r>
      <w:r>
        <w:t xml:space="preserve">size</w:t>
      </w:r>
      <w:r>
        <w:t xml:space="preserve"> </w:t>
      </w:r>
      <w:r>
        <w:t xml:space="preserve">positions,</w:t>
      </w:r>
      <w:r>
        <w:t xml:space="preserve"> </w:t>
      </w:r>
      <w:r>
        <w:t xml:space="preserve">or</w:t>
      </w:r>
      <w:r>
        <w:t xml:space="preserve"> </w:t>
      </w:r>
      <w:r>
        <w:t xml:space="preserve">execute</w:t>
      </w:r>
      <w:r>
        <w:t xml:space="preserve"> </w:t>
      </w:r>
      <w:r>
        <w:t xml:space="preserve">actions.</w:t>
      </w:r>
      <w:r>
        <w:t xml:space="preserve"> </w:t>
      </w:r>
      <w:r>
        <w:t xml:space="preserve">We</w:t>
      </w:r>
      <w:r>
        <w:t xml:space="preserve"> </w:t>
      </w:r>
      <w:r>
        <w:t xml:space="preserve">formalize</w:t>
      </w:r>
      <w:r>
        <w:t xml:space="preserve"> </w:t>
      </w:r>
      <w:r>
        <w:t xml:space="preserve">contradiction</w:t>
      </w:r>
      <w:r>
        <w:t xml:space="preserve"> </w:t>
      </w:r>
      <w:r>
        <w:t xml:space="preserve">between</w:t>
      </w:r>
      <w:r>
        <w:t xml:space="preserve"> </w:t>
      </w:r>
      <w:r>
        <w:t xml:space="preserve">hypotheses</w:t>
      </w:r>
      <w:r>
        <w:t xml:space="preserve"> </w:t>
      </w:r>
      <w:r>
        <w:t xml:space="preserve">without</w:t>
      </w:r>
      <w:r>
        <w:t xml:space="preserve"> </w:t>
      </w:r>
      <w:r>
        <w:t xml:space="preserve">permitting</w:t>
      </w:r>
      <w:r>
        <w:t xml:space="preserve"> </w:t>
      </w:r>
      <w:r>
        <w:t xml:space="preserve">internal</w:t>
      </w:r>
      <w:r>
        <w:t xml:space="preserve"> </w:t>
      </w:r>
      <w:r>
        <w:t xml:space="preserve">incoherence</w:t>
      </w:r>
      <w:r>
        <w:t xml:space="preserve"> </w:t>
      </w:r>
      <w:r>
        <w:t xml:space="preserve">within</w:t>
      </w:r>
      <w:r>
        <w:t xml:space="preserve"> </w:t>
      </w:r>
      <w:r>
        <w:t xml:space="preserve">a</w:t>
      </w:r>
      <w:r>
        <w:t xml:space="preserve"> </w:t>
      </w:r>
      <w:r>
        <w:t xml:space="preserve">hypothesis,</w:t>
      </w:r>
      <w:r>
        <w:t xml:space="preserve"> </w:t>
      </w:r>
      <w:r>
        <w:t xml:space="preserve">distinguish</w:t>
      </w:r>
      <w:r>
        <w:t xml:space="preserve"> </w:t>
      </w:r>
      <w:r>
        <w:t xml:space="preserve">layered</w:t>
      </w:r>
      <w:r>
        <w:t xml:space="preserve"> </w:t>
      </w:r>
      <w:r>
        <w:t xml:space="preserve">notions</w:t>
      </w:r>
      <w:r>
        <w:t xml:space="preserve"> </w:t>
      </w:r>
      <w:r>
        <w:t xml:space="preserve">of</w:t>
      </w:r>
      <w:r>
        <w:t xml:space="preserve"> </w:t>
      </w:r>
      <w:r>
        <w:t xml:space="preserve">equivalence,</w:t>
      </w:r>
      <w:r>
        <w:t xml:space="preserve"> </w:t>
      </w:r>
      <w:r>
        <w:t xml:space="preserve">define</w:t>
      </w:r>
      <w:r>
        <w:t xml:space="preserve"> </w:t>
      </w:r>
      <w:r>
        <w:t xml:space="preserve">a</w:t>
      </w:r>
      <w:r>
        <w:t xml:space="preserve"> </w:t>
      </w:r>
      <w:r>
        <w:t xml:space="preserve">labeled</w:t>
      </w:r>
      <w:r>
        <w:t xml:space="preserve"> </w:t>
      </w:r>
      <w:r>
        <w:t xml:space="preserve">provenance</w:t>
      </w:r>
      <w:r>
        <w:t xml:space="preserve"> </w:t>
      </w:r>
      <w:r>
        <w:t xml:space="preserve">DAG,</w:t>
      </w:r>
      <w:r>
        <w:t xml:space="preserve"> </w:t>
      </w:r>
      <w:r>
        <w:t xml:space="preserve">and</w:t>
      </w:r>
      <w:r>
        <w:t xml:space="preserve"> </w:t>
      </w:r>
      <w:r>
        <w:t xml:space="preserve">specify</w:t>
      </w:r>
      <w:r>
        <w:t xml:space="preserve"> </w:t>
      </w:r>
      <w:r>
        <w:t xml:space="preserve">a</w:t>
      </w:r>
      <w:r>
        <w:t xml:space="preserve"> </w:t>
      </w:r>
      <w:r>
        <w:t xml:space="preserve">reflexive</w:t>
      </w:r>
      <w:r>
        <w:t xml:space="preserve"> </w:t>
      </w:r>
      <w:r>
        <w:t xml:space="preserve">model</w:t>
      </w:r>
      <w:r>
        <w:t xml:space="preserve"> </w:t>
      </w:r>
      <w:r>
        <w:t xml:space="preserve">family</w:t>
      </w:r>
      <w:r>
        <w:t xml:space="preserve"> </w:t>
      </w:r>
      <w:r>
        <w:t xml:space="preserve">using</w:t>
      </w:r>
      <w:r>
        <w:t xml:space="preserve"> </w:t>
      </w:r>
      <w:r>
        <w:t xml:space="preserve">dynamic/performative</w:t>
      </w:r>
      <w:r>
        <w:t xml:space="preserve"> </w:t>
      </w:r>
      <w:r>
        <w:t xml:space="preserve">semantics</w:t>
      </w:r>
      <w:r>
        <w:t xml:space="preserve"> </w:t>
      </w:r>
      <w:r>
        <w:t xml:space="preserve">rather</w:t>
      </w:r>
      <w:r>
        <w:t xml:space="preserve"> </w:t>
      </w:r>
      <w:r>
        <w:t xml:space="preserve">than</w:t>
      </w:r>
      <w:r>
        <w:t xml:space="preserve"> </w:t>
      </w:r>
      <w:r>
        <w:t xml:space="preserve">static</w:t>
      </w:r>
      <w:r>
        <w:t xml:space="preserve"> </w:t>
      </w:r>
      <w:r>
        <w:t xml:space="preserve">DAG</w:t>
      </w:r>
      <w:r>
        <w:t xml:space="preserve"> </w:t>
      </w:r>
      <w:r>
        <w:t xml:space="preserve">cycles.</w:t>
      </w:r>
      <w:r>
        <w:t xml:space="preserve"> </w:t>
      </w:r>
      <w:r>
        <w:t xml:space="preserve">We</w:t>
      </w:r>
      <w:r>
        <w:t xml:space="preserve"> </w:t>
      </w:r>
      <w:r>
        <w:t xml:space="preserve">prove</w:t>
      </w:r>
      <w:r>
        <w:t xml:space="preserve"> </w:t>
      </w:r>
      <w:r>
        <w:t xml:space="preserve">elementary</w:t>
      </w:r>
      <w:r>
        <w:t xml:space="preserve"> </w:t>
      </w:r>
      <w:r>
        <w:t xml:space="preserve">archive-boundedness</w:t>
      </w:r>
      <w:r>
        <w:t xml:space="preserve"> </w:t>
      </w:r>
      <w:r>
        <w:t xml:space="preserve">and</w:t>
      </w:r>
      <w:r>
        <w:t xml:space="preserve"> </w:t>
      </w:r>
      <w:r>
        <w:t xml:space="preserve">type-closure</w:t>
      </w:r>
      <w:r>
        <w:t xml:space="preserve"> </w:t>
      </w:r>
      <w:r>
        <w:t xml:space="preserve">results,</w:t>
      </w:r>
      <w:r>
        <w:t xml:space="preserve"> </w:t>
      </w:r>
      <w:r>
        <w:t xml:space="preserve">import</w:t>
      </w:r>
      <w:r>
        <w:t xml:space="preserve"> </w:t>
      </w:r>
      <w:r>
        <w:t xml:space="preserve">the</w:t>
      </w:r>
      <w:r>
        <w:t xml:space="preserve"> </w:t>
      </w:r>
      <w:r>
        <w:t xml:space="preserve">classical</w:t>
      </w:r>
      <w:r>
        <w:t xml:space="preserve"> </w:t>
      </w:r>
      <w:r>
        <w:t xml:space="preserve">greedy</w:t>
      </w:r>
      <w:r>
        <w:t xml:space="preserve"> </w:t>
      </w:r>
      <w:r>
        <w:t xml:space="preserve">guarantee</w:t>
      </w:r>
      <w:r>
        <w:t xml:space="preserve"> </w:t>
      </w:r>
      <w:r>
        <w:t xml:space="preserve">for</w:t>
      </w:r>
      <w:r>
        <w:t xml:space="preserve"> </w:t>
      </w:r>
      <w:r>
        <w:t xml:space="preserve">monotone</w:t>
      </w:r>
      <w:r>
        <w:t xml:space="preserve"> </w:t>
      </w:r>
      <w:r>
        <w:t xml:space="preserve">submodular</w:t>
      </w:r>
      <w:r>
        <w:t xml:space="preserve"> </w:t>
      </w:r>
      <w:r>
        <w:t xml:space="preserve">selection</w:t>
      </w:r>
      <w:r>
        <w:t xml:space="preserve"> </w:t>
      </w:r>
      <w:r>
        <w:t xml:space="preserve">under</w:t>
      </w:r>
      <w:r>
        <w:t xml:space="preserve"> </w:t>
      </w:r>
      <w:r>
        <w:t xml:space="preserve">its</w:t>
      </w:r>
      <w:r>
        <w:t xml:space="preserve"> </w:t>
      </w:r>
      <w:r>
        <w:t xml:space="preserve">stated</w:t>
      </w:r>
      <w:r>
        <w:t xml:space="preserve"> </w:t>
      </w:r>
      <w:r>
        <w:t xml:space="preserve">assumptions,</w:t>
      </w:r>
      <w:r>
        <w:t xml:space="preserve"> </w:t>
      </w:r>
      <w:r>
        <w:t xml:space="preserve">and</w:t>
      </w:r>
      <w:r>
        <w:t xml:space="preserve"> </w:t>
      </w:r>
      <w:r>
        <w:t xml:space="preserve">show</w:t>
      </w:r>
      <w:r>
        <w:t xml:space="preserve"> </w:t>
      </w:r>
      <w:r>
        <w:t xml:space="preserve">why</w:t>
      </w:r>
      <w:r>
        <w:t xml:space="preserve"> </w:t>
      </w:r>
      <w:r>
        <w:t xml:space="preserve">determinant-based</w:t>
      </w:r>
      <w:r>
        <w:t xml:space="preserve"> </w:t>
      </w:r>
      <w:r>
        <w:t xml:space="preserve">selection</w:t>
      </w:r>
      <w:r>
        <w:t xml:space="preserve"> </w:t>
      </w:r>
      <w:r>
        <w:t xml:space="preserve">does</w:t>
      </w:r>
      <w:r>
        <w:t xml:space="preserve"> </w:t>
      </w:r>
      <w:r>
        <w:t xml:space="preserve">not</w:t>
      </w:r>
      <w:r>
        <w:t xml:space="preserve"> </w:t>
      </w:r>
      <w:r>
        <w:t xml:space="preserve">by</w:t>
      </w:r>
      <w:r>
        <w:t xml:space="preserve"> </w:t>
      </w:r>
      <w:r>
        <w:t xml:space="preserve">itself</w:t>
      </w:r>
      <w:r>
        <w:t xml:space="preserve"> </w:t>
      </w:r>
      <w:r>
        <w:t xml:space="preserve">imply</w:t>
      </w:r>
      <w:r>
        <w:t xml:space="preserve"> </w:t>
      </w:r>
      <w:r>
        <w:t xml:space="preserve">observational-equivalence</w:t>
      </w:r>
      <w:r>
        <w:t xml:space="preserve"> </w:t>
      </w:r>
      <w:r>
        <w:t xml:space="preserve">compression.</w:t>
      </w:r>
      <w:r>
        <w:t xml:space="preserve"> </w:t>
      </w:r>
      <w:r>
        <w:t xml:space="preserve">The</w:t>
      </w:r>
      <w:r>
        <w:t xml:space="preserve"> </w:t>
      </w:r>
      <w:r>
        <w:t xml:space="preserve">central</w:t>
      </w:r>
      <w:r>
        <w:t xml:space="preserve"> </w:t>
      </w:r>
      <w:r>
        <w:t xml:space="preserve">empirical</w:t>
      </w:r>
      <w:r>
        <w:t xml:space="preserve"> </w:t>
      </w:r>
      <w:r>
        <w:t xml:space="preserve">claim</w:t>
      </w:r>
      <w:r>
        <w:t xml:space="preserve"> </w:t>
      </w:r>
      <w:r>
        <w:t xml:space="preserve">remains</w:t>
      </w:r>
      <w:r>
        <w:t xml:space="preserve"> </w:t>
      </w:r>
      <w:r>
        <w:t xml:space="preserve">deliberately</w:t>
      </w:r>
      <w:r>
        <w:t xml:space="preserve"> </w:t>
      </w:r>
      <w:r>
        <w:t xml:space="preserve">unproved:</w:t>
      </w:r>
      <w:r>
        <w:t xml:space="preserve"> </w:t>
      </w:r>
      <w:r>
        <w:t xml:space="preserve">controlled</w:t>
      </w:r>
      <w:r>
        <w:t xml:space="preserve"> </w:t>
      </w:r>
      <w:r>
        <w:t xml:space="preserve">structural</w:t>
      </w:r>
      <w:r>
        <w:t xml:space="preserve"> </w:t>
      </w:r>
      <w:r>
        <w:t xml:space="preserve">diversity</w:t>
      </w:r>
      <w:r>
        <w:t xml:space="preserve"> </w:t>
      </w:r>
      <w:r>
        <w:t xml:space="preserve">may</w:t>
      </w:r>
      <w:r>
        <w:t xml:space="preserve"> </w:t>
      </w:r>
      <w:r>
        <w:t xml:space="preserve">reduce</w:t>
      </w:r>
      <w:r>
        <w:t xml:space="preserve"> </w:t>
      </w:r>
      <w:r>
        <w:t xml:space="preserve">validated</w:t>
      </w:r>
      <w:r>
        <w:t xml:space="preserve"> </w:t>
      </w:r>
      <w:r>
        <w:t xml:space="preserve">discovery</w:t>
      </w:r>
      <w:r>
        <w:t xml:space="preserve"> </w:t>
      </w:r>
      <w:r>
        <w:t xml:space="preserve">time</w:t>
      </w:r>
      <w:r>
        <w:t xml:space="preserve"> </w:t>
      </w:r>
      <w:r>
        <w:t xml:space="preserve">relative</w:t>
      </w:r>
      <w:r>
        <w:t xml:space="preserve"> </w:t>
      </w:r>
      <w:r>
        <w:t xml:space="preserve">to</w:t>
      </w:r>
      <w:r>
        <w:t xml:space="preserve"> </w:t>
      </w:r>
      <w:r>
        <w:t xml:space="preserve">matched-compute</w:t>
      </w:r>
      <w:r>
        <w:t xml:space="preserve"> </w:t>
      </w:r>
      <w:r>
        <w:t xml:space="preserve">baselines.</w:t>
      </w:r>
      <w:r>
        <w:t xml:space="preserve"> </w:t>
      </w:r>
      <w:r>
        <w:t xml:space="preserve">We</w:t>
      </w:r>
      <w:r>
        <w:t xml:space="preserve"> </w:t>
      </w:r>
      <w:r>
        <w:t xml:space="preserve">provide</w:t>
      </w:r>
      <w:r>
        <w:t xml:space="preserve"> </w:t>
      </w:r>
      <w:r>
        <w:t xml:space="preserve">a</w:t>
      </w:r>
      <w:r>
        <w:t xml:space="preserve"> </w:t>
      </w:r>
      <w:r>
        <w:t xml:space="preserve">falsifiable</w:t>
      </w:r>
      <w:r>
        <w:t xml:space="preserve"> </w:t>
      </w:r>
      <w:r>
        <w:t xml:space="preserve">staged</w:t>
      </w:r>
      <w:r>
        <w:t xml:space="preserve"> </w:t>
      </w:r>
      <w:r>
        <w:t xml:space="preserve">validation</w:t>
      </w:r>
      <w:r>
        <w:t xml:space="preserve"> </w:t>
      </w:r>
      <w:r>
        <w:t xml:space="preserve">program,</w:t>
      </w:r>
      <w:r>
        <w:t xml:space="preserve"> </w:t>
      </w:r>
      <w:r>
        <w:t xml:space="preserve">ablations,</w:t>
      </w:r>
      <w:r>
        <w:t xml:space="preserve"> </w:t>
      </w:r>
      <w:r>
        <w:t xml:space="preserve">and</w:t>
      </w:r>
      <w:r>
        <w:t xml:space="preserve"> </w:t>
      </w:r>
      <w:r>
        <w:t xml:space="preserve">kill</w:t>
      </w:r>
      <w:r>
        <w:t xml:space="preserve"> </w:t>
      </w:r>
      <w:r>
        <w:t xml:space="preserve">criteria.</w:t>
      </w:r>
      <w:r>
        <w:t xml:space="preserve"> </w:t>
      </w:r>
      <w:r>
        <w:t xml:space="preserve">No</w:t>
      </w:r>
      <w:r>
        <w:t xml:space="preserve"> </w:t>
      </w:r>
      <w:r>
        <w:t xml:space="preserve">empirical</w:t>
      </w:r>
      <w:r>
        <w:t xml:space="preserve"> </w:t>
      </w:r>
      <w:r>
        <w:t xml:space="preserve">market-performance</w:t>
      </w:r>
      <w:r>
        <w:t xml:space="preserve"> </w:t>
      </w:r>
      <w:r>
        <w:t xml:space="preserve">claim</w:t>
      </w:r>
      <w:r>
        <w:t xml:space="preserve"> </w:t>
      </w:r>
      <w:r>
        <w:t xml:space="preserve">is</w:t>
      </w:r>
      <w:r>
        <w:t xml:space="preserve"> </w:t>
      </w:r>
      <w:r>
        <w:t xml:space="preserve">made.</w:t>
      </w:r>
    </w:p>
    <w:bookmarkStart w:id="22" w:name="introduction"/>
    <w:p>
      <w:pPr>
        <w:pStyle w:val="Heading1"/>
        <w:keepNext/>
      </w:pPr>
      <w:r>
        <w:t xml:space="preserve">1. Introduction</w:t>
      </w:r>
    </w:p>
    <w:p>
      <w:pPr>
        <w:pStyle w:val="FirstParagraph"/>
      </w:pPr>
      <w:r>
        <w:t xml:space="preserve">A predictive system can fail in two different ways. It can reason badly inside the correct model class, or it can reason well inside the wrong model class. The second failure is more difficult because increasing inference quality can strengthen commitment to a misspecified explanatory family. In nonstationary, partially observed, adversarial, or reflexive environments, the relevant causal structure, temporal scale, latent regime, or entire model family may change faster than a conventional estimator can recover.</w:t>
      </w:r>
    </w:p>
    <w:p>
      <w:pPr>
        <w:pStyle w:val="BodyText"/>
      </w:pPr>
      <w:r>
        <w:t xml:space="preserve">Divergent Hypothesis Dynamics (DHD) addresses that failure mode by making</w:t>
      </w:r>
      <w:r>
        <w:t xml:space="preserve"> </w:t>
      </w:r>
      <w:r>
        <w:rPr>
          <w:b/>
          <w:bCs/>
        </w:rPr>
        <w:t xml:space="preserve">exploratory model generation</w:t>
      </w:r>
      <w:r>
        <w:t xml:space="preserve"> </w:t>
      </w:r>
      <w:r>
        <w:t xml:space="preserve">a first-class computational process. Its organizing principle is:</w:t>
      </w:r>
    </w:p>
    <w:p>
      <w:pPr>
        <w:pStyle w:val="BlockText"/>
      </w:pPr>
      <w:r>
        <w:rPr>
          <w:b/>
          <w:bCs/>
        </w:rPr>
        <w:t xml:space="preserve">Generating a hypothesis is not believing a hypothesis.</w:t>
      </w:r>
    </w:p>
    <w:p>
      <w:pPr>
        <w:pStyle w:val="FirstParagraph"/>
      </w:pPr>
      <w:r>
        <w:t xml:space="preserve">The distinction is stronger than ordinary Bayesian model uncertainty. Bayesian model averaging, sequential Monte Carlo, and interacting-model filters maintain alternatives in order to approximate or combine beliefs over a declared family. DHD instead maintains alternatives because some useful explanations may initially have negligible support, live in a different model family, or be generated by a structural transformation not represented in the current posterior. The nearest established ideas are novelty search and quality-diversity methods</w:t>
      </w:r>
      <w:r>
        <w:t xml:space="preserve"> </w:t>
      </w:r>
      <w:r>
        <w:t xml:space="preserve">[1], [2], [3]</w:t>
      </w:r>
      <w:r>
        <w:t xml:space="preserve">, population methods</w:t>
      </w:r>
      <w:r>
        <w:t xml:space="preserve"> </w:t>
      </w:r>
      <w:r>
        <w:t xml:space="preserve">[4], [5]</w:t>
      </w:r>
      <w:r>
        <w:t xml:space="preserve">, causal model search</w:t>
      </w:r>
      <w:r>
        <w:t xml:space="preserve"> </w:t>
      </w:r>
      <w:r>
        <w:t xml:space="preserve">[6], [7]</w:t>
      </w:r>
      <w:r>
        <w:t xml:space="preserve">, probabilistic programming</w:t>
      </w:r>
      <w:r>
        <w:t xml:space="preserve"> </w:t>
      </w:r>
      <w:r>
        <w:t xml:space="preserve">[8]</w:t>
      </w:r>
      <w:r>
        <w:t xml:space="preserve">, determinantal and submodular subset selection</w:t>
      </w:r>
      <w:r>
        <w:t xml:space="preserve"> </w:t>
      </w:r>
      <w:r>
        <w:t xml:space="preserve">[9], [10]</w:t>
      </w:r>
      <w:r>
        <w:t xml:space="preserve">, and performative prediction</w:t>
      </w:r>
      <w:r>
        <w:t xml:space="preserve"> </w:t>
      </w:r>
      <w:r>
        <w:t xml:space="preserve">[11]</w:t>
      </w:r>
      <w:r>
        <w:t xml:space="preserve">. DHD does not claim novelty for those components individually.</w:t>
      </w:r>
    </w:p>
    <w:p>
      <w:pPr>
        <w:pStyle w:val="BodyText"/>
      </w:pPr>
      <w:r>
        <w:t xml:space="preserve">The proposed contribution is architectural. DHD combines a typed heterogeneous hypothesis space, an explicitly controlled family of structural generators, a bounded exploratory archive, a first-class provenance genealogy, and a strict separation between generation and later epistemic adjudication. The control policy is supplied by PDC, whose Version 2.1 specification is itself cognition/meta-control only and does not construct or execute trades</w:t>
      </w:r>
      <w:r>
        <w:t xml:space="preserve"> </w:t>
      </w:r>
      <w:r>
        <w:t xml:space="preserve">[12]</w:t>
      </w:r>
      <w:r>
        <w:t xml:space="preserve">. DHD therefore complements PDC rather than replacing it.</w:t>
      </w:r>
    </w:p>
    <w:p>
      <w:pPr>
        <w:pStyle w:val="BodyText"/>
      </w:pPr>
      <w:r>
        <w:t xml:space="preserve">This paper is a governing theoretical specification, not a market-results paper. It formalizes the mathematical core that survived two rounds of adversarial internal research. Claims that were not verified are labeled as conjectures, engineering heuristics, or empirical hypotheses rather than promoted to theorem status.</w:t>
      </w:r>
    </w:p>
    <w:bookmarkStart w:id="20" w:name="scope-and-non-scope"/>
    <w:p>
      <w:pPr>
        <w:pStyle w:val="Heading2"/>
        <w:keepNext/>
      </w:pPr>
      <w:r>
        <w:t xml:space="preserve">1.1 Scope and non-scope</w:t>
      </w:r>
    </w:p>
    <w:p>
      <w:pPr>
        <w:pStyle w:val="FirstParagraph"/>
      </w:pPr>
      <w:r>
        <w:t xml:space="preserve">DHD owns hypothesis generation, mutation, exploratory archive maintenance, contradiction-preserving representation, provenance, and exploration diagnostics. It does</w:t>
      </w:r>
      <w:r>
        <w:t xml:space="preserve"> </w:t>
      </w:r>
      <w:r>
        <w:rPr>
          <w:b/>
          <w:bCs/>
        </w:rPr>
        <w:t xml:space="preserve">not</w:t>
      </w:r>
      <w:r>
        <w:t xml:space="preserve"> </w:t>
      </w:r>
      <w:r>
        <w:t xml:space="preserve">own posterior belief, final forecast selection, action valuation, trading policy, instrument choice, position size, orders, or execution. Its output is an epistemically raw but structurally organized population for a later adjudicator.</w:t>
      </w:r>
    </w:p>
    <w:p>
      <w:pPr>
        <w:pStyle w:val="BodyText"/>
      </w:pPr>
      <w:r>
        <w:t xml:space="preserve">The framework makes no clinical or psychiatric claim. The historical DogeOmegaRACLE project explored unusual cognition as a design metaphor, but DHD is defined entirely in computational terms: search breadth, operator structure, model-family transitions, causal alternatives, temporal reinterpretation, reflexivity, and resource allocation.</w:t>
      </w:r>
    </w:p>
    <w:bookmarkEnd w:id="20"/>
    <w:bookmarkStart w:id="21" w:name="central-scientific-hypothesis"/>
    <w:p>
      <w:pPr>
        <w:pStyle w:val="Heading2"/>
        <w:keepNext/>
      </w:pPr>
      <w:r>
        <w:t xml:space="preserve">1.2 Central scientific hypothesis</w:t>
      </w:r>
    </w:p>
    <w:p>
      <w:pPr>
        <w:pStyle w:val="FirstParagraph"/>
      </w:pPr>
      <w:r>
        <w:rPr>
          <w:b/>
          <w:bCs/>
        </w:rPr>
        <w:t xml:space="preserve">Empirical Hypothesis 1 (Controlled-diversity advantage).</w:t>
      </w:r>
      <w:r>
        <w:t xml:space="preserve"> </w:t>
      </w:r>
      <w:r>
        <w:t xml:space="preserve">There exist environments in which, under matched compute, memory, latency, and model-family access, a controlled DHD process produces a hypothesis that later passes pre-registered adjudication earlier than random valid search, conventional model averaging, or a non-metacontrolled novelty-search baseline.</w:t>
      </w:r>
    </w:p>
    <w:p>
      <w:pPr>
        <w:pStyle w:val="BodyText"/>
      </w:pPr>
      <w:r>
        <w:t xml:space="preserve">This is the core proposition that justifies DHD as an independent framework. It is not assumed true. Section 14 defines experiments that can falsify it.</w:t>
      </w:r>
    </w:p>
    <w:bookmarkEnd w:id="21"/>
    <w:bookmarkEnd w:id="22"/>
    <w:bookmarkStart w:id="23" w:name="mathematical-objects-and-notation"/>
    <w:p>
      <w:pPr>
        <w:pStyle w:val="Heading1"/>
        <w:keepNext/>
      </w:pPr>
      <w:r>
        <w:t xml:space="preserve">2. Mathematical objects and notation</w:t>
      </w:r>
    </w:p>
    <w:p>
      <w:pPr>
        <w:pStyle w:val="FirstParagraph"/>
      </w:pPr>
      <w:r>
        <w:t xml:space="preserve">Let time be indexed by ticks</w:t>
      </w:r>
      <w:r>
        <w:t xml:space="preserve"> </w:t>
      </w:r>
      <m:oMath>
        <m:r>
          <m:t>t</m:t>
        </m:r>
        <m:r>
          <m:rPr>
            <m:sty m:val="p"/>
          </m:rPr>
          <m:t>∈</m:t>
        </m:r>
        <m:r>
          <m:rPr>
            <m:sty m:val="p"/>
            <m:scr m:val="double-struck"/>
          </m:rPr>
          <m:t>N</m:t>
        </m:r>
      </m:oMath>
      <w:r>
        <w:t xml:space="preserve">. DHD maintains a logical population of hypotheses and several physical stores. Let</w:t>
      </w:r>
      <w:r>
        <w:t xml:space="preserve"> </w:t>
      </w:r>
      <m:oMath>
        <m:r>
          <m:rPr>
            <m:sty m:val="p"/>
            <m:scr m:val="script"/>
          </m:rPr>
          <m:t>K</m:t>
        </m:r>
      </m:oMath>
      <w:r>
        <w:t xml:space="preserve"> </w:t>
      </w:r>
      <w:r>
        <w:t xml:space="preserve">be a finite or countable set of model-family tags. Examples include state-space models, structural causal models, regime-switching models, probabilistic programs, agent-based models, and reflexive dynamic models.</w:t>
      </w:r>
    </w:p>
    <w:p>
      <w:pPr>
        <w:pStyle w:val="BodyText"/>
      </w:pPr>
      <w:r>
        <w:rPr>
          <w:b/>
          <w:bCs/>
        </w:rPr>
        <w:t xml:space="preserve">Definition 1 (Typed hypothesis space).</w:t>
      </w:r>
      <w:r>
        <w:t xml:space="preserve"> </w:t>
      </w:r>
      <w:r>
        <w:t xml:space="preserve">The ambient hypothesis space is the disjoint union</w:t>
      </w:r>
    </w:p>
    <w:p>
      <w:pPr>
        <w:pStyle w:val="BodyText"/>
      </w:pPr>
      <m:oMathPara>
        <m:oMathParaPr>
          <m:jc m:val="center"/>
        </m:oMathParaPr>
        <m:oMath>
          <m:r>
            <m:rPr>
              <m:sty m:val="p"/>
              <m:scr m:val="script"/>
            </m:rPr>
            <m:t>H</m:t>
          </m:r>
          <m:r>
            <m:rPr>
              <m:sty m:val="p"/>
            </m:rPr>
            <m:t>=</m:t>
          </m:r>
          <m:nary>
            <m:naryPr>
              <m:chr m:val="∐"/>
              <m:limLoc m:val="undOvr"/>
              <m:subHide m:val="off"/>
              <m:supHide m:val="on"/>
            </m:naryPr>
            <m:sub>
              <m:r>
                <m:t>k</m:t>
              </m:r>
              <m:r>
                <m:rPr>
                  <m:sty m:val="p"/>
                </m:rPr>
                <m:t>∈</m:t>
              </m:r>
              <m:r>
                <m:rPr>
                  <m:sty m:val="p"/>
                  <m:scr m:val="script"/>
                </m:rPr>
                <m:t>K</m:t>
              </m:r>
            </m:sub>
            <m:sup>
              <m:r>
                <m:t>​</m:t>
              </m:r>
            </m:sup>
            <m:e>
              <m:sSub>
                <m:e>
                  <m:r>
                    <m:rPr>
                      <m:sty m:val="p"/>
                      <m:scr m:val="script"/>
                    </m:rPr>
                    <m:t>H</m:t>
                  </m:r>
                </m:e>
                <m:sub>
                  <m:r>
                    <m:t>k</m:t>
                  </m:r>
                </m:sub>
              </m:sSub>
            </m:e>
          </m:nary>
          <m:r>
            <m:rPr>
              <m:sty m:val="p"/>
            </m:rPr>
            <m:t>.</m:t>
          </m:r>
        </m:oMath>
      </m:oMathPara>
    </w:p>
    <w:p>
      <w:pPr>
        <w:pStyle w:val="FirstParagraph"/>
      </w:pPr>
      <w:r>
        <w:t xml:space="preserve">An element</w:t>
      </w:r>
      <w:r>
        <w:t xml:space="preserve"> </w:t>
      </w:r>
      <m:oMath>
        <m:r>
          <m:t>h</m:t>
        </m:r>
        <m:r>
          <m:rPr>
            <m:sty m:val="p"/>
          </m:rPr>
          <m:t>∈</m:t>
        </m:r>
        <m:r>
          <m:rPr>
            <m:sty m:val="p"/>
            <m:scr m:val="script"/>
          </m:rPr>
          <m:t>H</m:t>
        </m:r>
      </m:oMath>
      <w:r>
        <w:t xml:space="preserve"> </w:t>
      </w:r>
      <w:r>
        <w:t xml:space="preserve">has exactly one family tag</w:t>
      </w:r>
      <w:r>
        <w:t xml:space="preserve"> </w:t>
      </w:r>
      <m:oMath>
        <m:r>
          <m:t>k</m:t>
        </m:r>
        <m:d>
          <m:dPr>
            <m:begChr m:val="("/>
            <m:endChr m:val=")"/>
            <m:sepChr m:val=""/>
            <m:grow/>
          </m:dPr>
          <m:e>
            <m:r>
              <m:t>h</m:t>
            </m:r>
          </m:e>
        </m:d>
      </m:oMath>
      <w:r>
        <w:t xml:space="preserve"> </w:t>
      </w:r>
      <w:r>
        <w:t xml:space="preserve">even when two families can express observationally equivalent behavior. The coproduct preserves family identity and prevents parameters from unrelated model classes from being treated as coordinates in one Euclidean vector space.</w:t>
      </w:r>
    </w:p>
    <w:p>
      <w:pPr>
        <w:pStyle w:val="BodyText"/>
      </w:pPr>
      <w:r>
        <w:rPr>
          <w:b/>
          <w:bCs/>
        </w:rPr>
        <w:t xml:space="preserve">Definition 2 (Hypothesis object).</w:t>
      </w:r>
      <w:r>
        <w:t xml:space="preserve"> </w:t>
      </w:r>
      <w:r>
        <w:t xml:space="preserve">A DHD hypothesis is the typed object</w:t>
      </w:r>
    </w:p>
    <w:p>
      <w:pPr>
        <w:pStyle w:val="BodyText"/>
      </w:pPr>
      <m:oMathPara>
        <m:oMathParaPr>
          <m:jc m:val="center"/>
        </m:oMathParaPr>
        <m:oMath>
          <m:r>
            <m:t>h</m:t>
          </m:r>
          <m:r>
            <m:rPr>
              <m:sty m:val="p"/>
            </m:rPr>
            <m:t>=</m:t>
          </m:r>
          <m:d>
            <m:dPr>
              <m:begChr m:val="("/>
              <m:endChr m:val=")"/>
              <m:sepChr m:val=""/>
              <m:grow/>
            </m:dPr>
            <m:e>
              <m:r>
                <m:t>k</m:t>
              </m:r>
              <m:r>
                <m:rPr>
                  <m:sty m:val="p"/>
                </m:rPr>
                <m:t>,</m:t>
              </m:r>
              <m:r>
                <m:t>M</m:t>
              </m:r>
              <m:r>
                <m:rPr>
                  <m:sty m:val="p"/>
                </m:rPr>
                <m:t>,</m:t>
              </m:r>
              <m:r>
                <m:rPr>
                  <m:sty m:val="p"/>
                  <m:scr m:val="script"/>
                </m:rPr>
                <m:t>V</m:t>
              </m:r>
              <m:r>
                <m:rPr>
                  <m:sty m:val="p"/>
                </m:rPr>
                <m:t>,</m:t>
              </m:r>
              <m:r>
                <m:rPr>
                  <m:sty m:val="p"/>
                  <m:scr m:val="script"/>
                </m:rPr>
                <m:t>A</m:t>
              </m:r>
              <m:r>
                <m:rPr>
                  <m:sty m:val="p"/>
                </m:rPr>
                <m:t>,</m:t>
              </m:r>
              <m:r>
                <m:rPr>
                  <m:sty m:val="p"/>
                  <m:scr m:val="script"/>
                </m:rPr>
                <m:t>I</m:t>
              </m:r>
              <m:r>
                <m:rPr>
                  <m:sty m:val="p"/>
                </m:rPr>
                <m:t>,</m:t>
              </m:r>
              <m:r>
                <m:rPr>
                  <m:sty m:val="p"/>
                  <m:scr m:val="script"/>
                </m:rPr>
                <m:t>T</m:t>
              </m:r>
              <m:r>
                <m:rPr>
                  <m:sty m:val="p"/>
                </m:rPr>
                <m:t>,</m:t>
              </m:r>
              <m:r>
                <m:t>Φ</m:t>
              </m:r>
              <m:r>
                <m:rPr>
                  <m:sty m:val="p"/>
                </m:rPr>
                <m:t>,</m:t>
              </m:r>
              <m:r>
                <m:t>Ω</m:t>
              </m:r>
              <m:r>
                <m:rPr>
                  <m:sty m:val="p"/>
                </m:rPr>
                <m:t>,</m:t>
              </m:r>
              <m:r>
                <m:t>Π</m:t>
              </m:r>
            </m:e>
          </m:d>
          <m:r>
            <m:rPr>
              <m:sty m:val="p"/>
            </m:rPr>
            <m:t>,</m:t>
          </m:r>
        </m:oMath>
      </m:oMathPara>
    </w:p>
    <w:p>
      <w:pPr>
        <w:pStyle w:val="FirstParagraph"/>
      </w:pPr>
      <w:r>
        <w:t xml:space="preserve">where:</w:t>
      </w:r>
    </w:p>
    <w:tbl>
      <w:tblPr>
        <w:tblStyle w:val="TableGrid"/>
        <w:tblW w:type="auto" w:w="0"/>
        <w:jc w:val="center"/>
        <w:tblLayout w:type="fixed"/>
        <w:tblLook w:firstRow="1" w:lastRow="0" w:firstColumn="0" w:lastColumn="0" w:noHBand="0" w:noVBand="0" w:val="0020"/>
      </w:tblPr>
      <w:tblGrid>
        <w:gridCol w:w="3960"/>
        <w:gridCol w:w="3960"/>
      </w:tblGrid>
      <w:tr>
        <w:trPr>
          <w:tblHeader w:val="true"/>
        </w:trPr>
        <w:tc>
          <w:tcPr>
            <w:tcW w:type="dxa" w:w="2448"/>
            <w:vAlign w:val="center"/>
            <w:shd w:fill="EAF1F8"/>
          </w:tcPr>
          <w:p>
            <w:pPr>
              <w:spacing w:before="0" w:after="0" w:line="240" w:lineRule="auto"/>
            </w:pPr>
            <w:r>
              <w:rPr>
                <w:rFonts w:ascii="Times New Roman" w:hAnsi="Times New Roman"/>
                <w:b/>
                <w:sz w:val="17"/>
              </w:rPr>
              <w:t>Component</w:t>
            </w:r>
          </w:p>
        </w:tc>
        <w:tc>
          <w:tcPr>
            <w:tcW w:type="dxa" w:w="7343"/>
            <w:vAlign w:val="center"/>
            <w:shd w:fill="EAF1F8"/>
          </w:tcPr>
          <w:p>
            <w:pPr>
              <w:spacing w:before="0" w:after="0" w:line="240" w:lineRule="auto"/>
            </w:pPr>
            <w:r>
              <w:rPr>
                <w:rFonts w:ascii="Times New Roman" w:hAnsi="Times New Roman"/>
                <w:b/>
                <w:sz w:val="17"/>
              </w:rPr>
              <w:t>Meaning</w:t>
            </w:r>
          </w:p>
        </w:tc>
      </w:tr>
      <w:tr>
        <w:tc>
          <w:tcPr>
            <w:tcW w:type="dxa" w:w="2448"/>
            <w:vAlign w:val="center"/>
          </w:tcPr>
          <w:p>
            <w:pPr>
              <w:spacing w:before="0" w:after="0" w:line="240" w:lineRule="auto"/>
            </w:pPr>
            <w:r>
              <w:rPr>
                <w:rFonts w:ascii="Times New Roman" w:hAnsi="Times New Roman"/>
                <w:b w:val="0"/>
                <w:sz w:val="17"/>
              </w:rPr>
              <w:t>k</w:t>
            </w:r>
          </w:p>
        </w:tc>
        <w:tc>
          <w:tcPr>
            <w:tcW w:type="dxa" w:w="7343"/>
            <w:vAlign w:val="center"/>
          </w:tcPr>
          <w:p>
            <w:pPr>
              <w:spacing w:before="0" w:after="0" w:line="240" w:lineRule="auto"/>
            </w:pPr>
            <w:r>
              <w:rPr>
                <w:rFonts w:ascii="Times New Roman" w:hAnsi="Times New Roman"/>
                <w:b w:val="0"/>
                <w:sz w:val="17"/>
              </w:rPr>
              <w:t>model-family tag</w:t>
            </w:r>
          </w:p>
        </w:tc>
      </w:tr>
      <w:tr>
        <w:tc>
          <w:tcPr>
            <w:tcW w:type="dxa" w:w="2448"/>
            <w:vAlign w:val="center"/>
          </w:tcPr>
          <w:p>
            <w:pPr>
              <w:spacing w:before="0" w:after="0" w:line="240" w:lineRule="auto"/>
            </w:pPr>
            <w:r>
              <w:rPr>
                <w:rFonts w:ascii="Times New Roman" w:hAnsi="Times New Roman"/>
                <w:b w:val="0"/>
                <w:sz w:val="17"/>
              </w:rPr>
              <w:t>M</w:t>
            </w:r>
          </w:p>
        </w:tc>
        <w:tc>
          <w:tcPr>
            <w:tcW w:type="dxa" w:w="7343"/>
            <w:vAlign w:val="center"/>
          </w:tcPr>
          <w:p>
            <w:pPr>
              <w:spacing w:before="0" w:after="0" w:line="240" w:lineRule="auto"/>
            </w:pPr>
            <w:r>
              <w:rPr>
                <w:rFonts w:ascii="Times New Roman" w:hAnsi="Times New Roman"/>
                <w:b w:val="0"/>
                <w:sz w:val="17"/>
              </w:rPr>
              <w:t>executable generative model or program</w:t>
            </w:r>
          </w:p>
        </w:tc>
      </w:tr>
      <w:tr>
        <w:tc>
          <w:tcPr>
            <w:tcW w:type="dxa" w:w="2448"/>
            <w:vAlign w:val="center"/>
          </w:tcPr>
          <w:p>
            <w:pPr>
              <w:spacing w:before="0" w:after="0" w:line="240" w:lineRule="auto"/>
            </w:pPr>
            <w:r>
              <w:rPr>
                <w:rFonts w:ascii="Times New Roman" w:hAnsi="Times New Roman"/>
                <w:b w:val="0"/>
                <w:sz w:val="17"/>
              </w:rPr>
              <w:t>V</w:t>
            </w:r>
          </w:p>
        </w:tc>
        <w:tc>
          <w:tcPr>
            <w:tcW w:type="dxa" w:w="7343"/>
            <w:vAlign w:val="center"/>
          </w:tcPr>
          <w:p>
            <w:pPr>
              <w:spacing w:before="0" w:after="0" w:line="240" w:lineRule="auto"/>
            </w:pPr>
            <w:r>
              <w:rPr>
                <w:rFonts w:ascii="Times New Roman" w:hAnsi="Times New Roman"/>
                <w:b w:val="0"/>
                <w:sz w:val="17"/>
              </w:rPr>
              <w:t>typed variables and domains</w:t>
            </w:r>
          </w:p>
        </w:tc>
      </w:tr>
      <w:tr>
        <w:tc>
          <w:tcPr>
            <w:tcW w:type="dxa" w:w="2448"/>
            <w:vAlign w:val="center"/>
          </w:tcPr>
          <w:p>
            <w:pPr>
              <w:spacing w:before="0" w:after="0" w:line="240" w:lineRule="auto"/>
            </w:pPr>
            <w:r>
              <w:rPr>
                <w:rFonts w:ascii="Times New Roman" w:hAnsi="Times New Roman"/>
                <w:b w:val="0"/>
                <w:sz w:val="17"/>
              </w:rPr>
              <w:t>A</w:t>
            </w:r>
          </w:p>
        </w:tc>
        <w:tc>
          <w:tcPr>
            <w:tcW w:type="dxa" w:w="7343"/>
            <w:vAlign w:val="center"/>
          </w:tcPr>
          <w:p>
            <w:pPr>
              <w:spacing w:before="0" w:after="0" w:line="240" w:lineRule="auto"/>
            </w:pPr>
            <w:r>
              <w:rPr>
                <w:rFonts w:ascii="Times New Roman" w:hAnsi="Times New Roman"/>
                <w:b w:val="0"/>
                <w:sz w:val="17"/>
              </w:rPr>
              <w:t>explicit assumptions and scope conditions</w:t>
            </w:r>
          </w:p>
        </w:tc>
      </w:tr>
      <w:tr>
        <w:tc>
          <w:tcPr>
            <w:tcW w:type="dxa" w:w="2448"/>
            <w:vAlign w:val="center"/>
          </w:tcPr>
          <w:p>
            <w:pPr>
              <w:spacing w:before="0" w:after="0" w:line="240" w:lineRule="auto"/>
            </w:pPr>
            <w:r>
              <w:rPr>
                <w:rFonts w:ascii="Times New Roman" w:hAnsi="Times New Roman"/>
                <w:b w:val="0"/>
                <w:sz w:val="17"/>
              </w:rPr>
              <w:t>I</w:t>
            </w:r>
          </w:p>
        </w:tc>
        <w:tc>
          <w:tcPr>
            <w:tcW w:type="dxa" w:w="7343"/>
            <w:vAlign w:val="center"/>
          </w:tcPr>
          <w:p>
            <w:pPr>
              <w:spacing w:before="0" w:after="0" w:line="240" w:lineRule="auto"/>
            </w:pPr>
            <w:r>
              <w:rPr>
                <w:rFonts w:ascii="Times New Roman" w:hAnsi="Times New Roman"/>
                <w:b w:val="0"/>
                <w:sz w:val="17"/>
              </w:rPr>
              <w:t>intervention/counterfactual semantics when defined</w:t>
            </w:r>
          </w:p>
        </w:tc>
      </w:tr>
      <w:tr>
        <w:tc>
          <w:tcPr>
            <w:tcW w:type="dxa" w:w="2448"/>
            <w:vAlign w:val="center"/>
          </w:tcPr>
          <w:p>
            <w:pPr>
              <w:spacing w:before="0" w:after="0" w:line="240" w:lineRule="auto"/>
            </w:pPr>
            <w:r>
              <w:rPr>
                <w:rFonts w:ascii="Times New Roman" w:hAnsi="Times New Roman"/>
                <w:b w:val="0"/>
                <w:sz w:val="17"/>
              </w:rPr>
              <w:t>T</w:t>
            </w:r>
          </w:p>
        </w:tc>
        <w:tc>
          <w:tcPr>
            <w:tcW w:type="dxa" w:w="7343"/>
            <w:vAlign w:val="center"/>
          </w:tcPr>
          <w:p>
            <w:pPr>
              <w:spacing w:before="0" w:after="0" w:line="240" w:lineRule="auto"/>
            </w:pPr>
            <w:r>
              <w:rPr>
                <w:rFonts w:ascii="Times New Roman" w:hAnsi="Times New Roman"/>
                <w:b w:val="0"/>
                <w:sz w:val="17"/>
              </w:rPr>
              <w:t>temporal semantics: lags, horizon, memory, aggregation</w:t>
            </w:r>
          </w:p>
        </w:tc>
      </w:tr>
      <w:tr>
        <w:tc>
          <w:tcPr>
            <w:tcW w:type="dxa" w:w="2448"/>
            <w:vAlign w:val="center"/>
          </w:tcPr>
          <w:p>
            <w:pPr>
              <w:spacing w:before="0" w:after="0" w:line="240" w:lineRule="auto"/>
            </w:pPr>
            <w:r>
              <w:rPr>
                <w:rFonts w:ascii="Times New Roman" w:hAnsi="Times New Roman"/>
                <w:b w:val="0"/>
                <w:sz w:val="17"/>
              </w:rPr>
              <w:t>Phi</w:t>
            </w:r>
          </w:p>
        </w:tc>
        <w:tc>
          <w:tcPr>
            <w:tcW w:type="dxa" w:w="7343"/>
            <w:vAlign w:val="center"/>
          </w:tcPr>
          <w:p>
            <w:pPr>
              <w:spacing w:before="0" w:after="0" w:line="240" w:lineRule="auto"/>
            </w:pPr>
            <w:r>
              <w:rPr>
                <w:rFonts w:ascii="Times New Roman" w:hAnsi="Times New Roman"/>
                <w:b w:val="0"/>
                <w:sz w:val="17"/>
              </w:rPr>
              <w:t>testable or conditionally testable implications</w:t>
            </w:r>
          </w:p>
        </w:tc>
      </w:tr>
      <w:tr>
        <w:tc>
          <w:tcPr>
            <w:tcW w:type="dxa" w:w="2448"/>
            <w:vAlign w:val="center"/>
          </w:tcPr>
          <w:p>
            <w:pPr>
              <w:spacing w:before="0" w:after="0" w:line="240" w:lineRule="auto"/>
            </w:pPr>
            <w:r>
              <w:rPr>
                <w:rFonts w:ascii="Times New Roman" w:hAnsi="Times New Roman"/>
                <w:b w:val="0"/>
                <w:sz w:val="17"/>
              </w:rPr>
              <w:t>Omega</w:t>
            </w:r>
          </w:p>
        </w:tc>
        <w:tc>
          <w:tcPr>
            <w:tcW w:type="dxa" w:w="7343"/>
            <w:vAlign w:val="center"/>
          </w:tcPr>
          <w:p>
            <w:pPr>
              <w:spacing w:before="0" w:after="0" w:line="240" w:lineRule="auto"/>
            </w:pPr>
            <w:r>
              <w:rPr>
                <w:rFonts w:ascii="Times New Roman" w:hAnsi="Times New Roman"/>
                <w:b w:val="0"/>
                <w:sz w:val="17"/>
              </w:rPr>
              <w:t>predictive-consequence operator</w:t>
            </w:r>
          </w:p>
        </w:tc>
      </w:tr>
      <w:tr>
        <w:tc>
          <w:tcPr>
            <w:tcW w:type="dxa" w:w="2448"/>
            <w:vAlign w:val="center"/>
          </w:tcPr>
          <w:p>
            <w:pPr>
              <w:spacing w:before="0" w:after="0" w:line="240" w:lineRule="auto"/>
            </w:pPr>
            <w:r>
              <w:rPr>
                <w:rFonts w:ascii="Times New Roman" w:hAnsi="Times New Roman"/>
                <w:b w:val="0"/>
                <w:sz w:val="17"/>
              </w:rPr>
              <w:t>Pi</w:t>
            </w:r>
          </w:p>
        </w:tc>
        <w:tc>
          <w:tcPr>
            <w:tcW w:type="dxa" w:w="7343"/>
            <w:vAlign w:val="center"/>
          </w:tcPr>
          <w:p>
            <w:pPr>
              <w:spacing w:before="0" w:after="0" w:line="240" w:lineRule="auto"/>
            </w:pPr>
            <w:r>
              <w:rPr>
                <w:rFonts w:ascii="Times New Roman" w:hAnsi="Times New Roman"/>
                <w:b w:val="0"/>
                <w:sz w:val="17"/>
              </w:rPr>
              <w:t>provenance record and genealogy reference</w:t>
            </w:r>
          </w:p>
        </w:tc>
      </w:tr>
    </w:tbl>
    <w:p>
      <w:pPr>
        <w:pStyle w:val="BodyText"/>
      </w:pPr>
      <w:r>
        <w:t xml:space="preserve">Not every family must implement every operation. A noncausal forecasting model can leave</w:t>
      </w:r>
      <w:r>
        <w:t xml:space="preserve"> </w:t>
      </w:r>
      <m:oMath>
        <m:r>
          <m:rPr>
            <m:sty m:val="p"/>
            <m:scr m:val="script"/>
          </m:rPr>
          <m:t>I</m:t>
        </m:r>
      </m:oMath>
      <w:r>
        <w:t xml:space="preserve"> </w:t>
      </w:r>
      <w:r>
        <w:t xml:space="preserve">undefined; a static causal model can have trivial temporal semantics; an underidentified model can declare its identification status explicitly.</w:t>
      </w:r>
    </w:p>
    <w:p>
      <w:pPr>
        <w:pStyle w:val="BodyText"/>
      </w:pPr>
      <w:r>
        <w:rPr>
          <w:b/>
          <w:bCs/>
        </w:rPr>
        <w:t xml:space="preserve">Definition 3 (Minimum family interface).</w:t>
      </w:r>
      <w:r>
        <w:t xml:space="preserve"> </w:t>
      </w:r>
      <w:r>
        <w:t xml:space="preserve">Every admitted family supports the following partial interface:</w:t>
      </w:r>
    </w:p>
    <w:p>
      <w:pPr>
        <w:pStyle w:val="SourceCode"/>
        <w:spacing w:before="60" w:after="60"/>
        <w:ind w:left="360" w:right="216"/>
      </w:pPr>
      <w:r>
        <w:rPr>
          <w:rStyle w:val="VerbatimChar"/>
          <w:rFonts w:ascii="DejaVu Sans Mono" w:hAnsi="DejaVu Sans Mono"/>
          <w:sz w:val="17"/>
        </w:rPr>
        <w:t xml:space="preserve">GenerateObservables(h, context)</w:t>
      </w:r>
      <w:r>
        <w:rPr>
          <w:rFonts w:ascii="DejaVu Sans Mono" w:hAnsi="DejaVu Sans Mono"/>
          <w:sz w:val="17"/>
        </w:rPr>
        <w:br/>
      </w:r>
      <w:r>
        <w:rPr>
          <w:rStyle w:val="VerbatimChar"/>
          <w:rFonts w:ascii="DejaVu Sans Mono" w:hAnsi="DejaVu Sans Mono"/>
          <w:sz w:val="17"/>
        </w:rPr>
        <w:t xml:space="preserve">PredictDistribution(h, horizon, context)</w:t>
      </w:r>
      <w:r>
        <w:rPr>
          <w:rFonts w:ascii="DejaVu Sans Mono" w:hAnsi="DejaVu Sans Mono"/>
          <w:sz w:val="17"/>
        </w:rPr>
        <w:br/>
      </w:r>
      <w:r>
        <w:rPr>
          <w:rStyle w:val="VerbatimChar"/>
          <w:rFonts w:ascii="DejaVu Sans Mono" w:hAnsi="DejaVu Sans Mono"/>
          <w:sz w:val="17"/>
        </w:rPr>
        <w:t xml:space="preserve">Validate(h)</w:t>
      </w:r>
      <w:r>
        <w:rPr>
          <w:rFonts w:ascii="DejaVu Sans Mono" w:hAnsi="DejaVu Sans Mono"/>
          <w:sz w:val="17"/>
        </w:rPr>
        <w:br/>
      </w:r>
      <w:r>
        <w:rPr>
          <w:rStyle w:val="VerbatimChar"/>
          <w:rFonts w:ascii="DejaVu Sans Mono" w:hAnsi="DejaVu Sans Mono"/>
          <w:sz w:val="17"/>
        </w:rPr>
        <w:t xml:space="preserve">Complexity(h)</w:t>
      </w:r>
      <w:r>
        <w:rPr>
          <w:rFonts w:ascii="DejaVu Sans Mono" w:hAnsi="DejaVu Sans Mono"/>
          <w:sz w:val="17"/>
        </w:rPr>
        <w:br/>
      </w:r>
      <w:r>
        <w:rPr>
          <w:rStyle w:val="VerbatimChar"/>
          <w:rFonts w:ascii="DejaVu Sans Mono" w:hAnsi="DejaVu Sans Mono"/>
          <w:sz w:val="17"/>
        </w:rPr>
        <w:t xml:space="preserve">Provenance(h)</w:t>
      </w:r>
    </w:p>
    <w:p>
      <w:pPr>
        <w:pStyle w:val="FirstParagraph"/>
      </w:pPr>
      <w:r>
        <w:t xml:space="preserve">with optional</w:t>
      </w:r>
      <w:r>
        <w:t xml:space="preserve"> </w:t>
      </w:r>
      <w:r>
        <w:rPr>
          <w:rStyle w:val="VerbatimChar"/>
        </w:rPr>
        <w:t xml:space="preserve">Intervene(h, intervention)</w:t>
      </w:r>
      <w:r>
        <w:t xml:space="preserve"> </w:t>
      </w:r>
      <w:r>
        <w:t xml:space="preserve">and</w:t>
      </w:r>
      <w:r>
        <w:t xml:space="preserve"> </w:t>
      </w:r>
      <w:r>
        <w:rPr>
          <w:rStyle w:val="VerbatimChar"/>
        </w:rPr>
        <w:t xml:space="preserve">Counterfactual(h, evidence, action)</w:t>
      </w:r>
      <w:r>
        <w:t xml:space="preserve"> </w:t>
      </w:r>
      <w:r>
        <w:t xml:space="preserve">functions when the family defines those semantics.</w:t>
      </w:r>
    </w:p>
    <w:p>
      <w:pPr>
        <w:pStyle w:val="BodyText"/>
      </w:pPr>
      <w:r>
        <w:rPr>
          <w:b/>
          <w:bCs/>
        </w:rPr>
        <w:t xml:space="preserve">Assumption 1 (Executable consequences).</w:t>
      </w:r>
      <w:r>
        <w:t xml:space="preserve"> </w:t>
      </w:r>
      <w:r>
        <w:t xml:space="preserve">Every hypothesis eligible for the active archive can generate at least one non-vacuous observable or interventionally meaningful consequence over a declared context and horizon.</w:t>
      </w:r>
    </w:p>
    <w:p>
      <w:pPr>
        <w:pStyle w:val="BodyText"/>
      </w:pPr>
      <w:r>
        <w:t xml:space="preserve">This assumption is what makes cross-family comparison possible without inventing a universal parameter geometry.</w:t>
      </w:r>
    </w:p>
    <w:bookmarkEnd w:id="23"/>
    <w:bookmarkStart w:id="30" w:name="multi-view-hypothesis-geometry"/>
    <w:p>
      <w:pPr>
        <w:pStyle w:val="Heading1"/>
        <w:keepNext/>
      </w:pPr>
      <w:r>
        <w:t xml:space="preserve">3. Multi-view hypothesis geometry</w:t>
      </w:r>
    </w:p>
    <w:p>
      <w:pPr>
        <w:pStyle w:val="FirstParagraph"/>
      </w:pPr>
      <w:r>
        <w:t xml:space="preserve">A global scalar distance between arbitrary hypotheses is neither required nor generally well motivated. Predictive distributions, causal graphs, temporal assumptions, model-family identity, and provenance are different objects with different invariances. DHD therefore uses a profile of view-specific comparisons rather than an arbitrary weighted sum.</w:t>
      </w:r>
    </w:p>
    <w:p>
      <w:pPr>
        <w:pStyle w:val="BodyText"/>
      </w:pPr>
      <w:r>
        <w:rPr>
          <w:b/>
          <w:bCs/>
        </w:rPr>
        <w:t xml:space="preserve">Definition 4 (Multi-view distance profile).</w:t>
      </w:r>
      <w:r>
        <w:t xml:space="preserve"> </w:t>
      </w:r>
      <w:r>
        <w:t xml:space="preserve">For two hypotheses</w:t>
      </w:r>
      <w:r>
        <w:t xml:space="preserve"> </w:t>
      </w:r>
      <m:oMath>
        <m:sSub>
          <m:e>
            <m:r>
              <m:t>h</m:t>
            </m:r>
          </m:e>
          <m:sub>
            <m:r>
              <m:t>i</m:t>
            </m:r>
          </m:sub>
        </m:sSub>
        <m:r>
          <m:rPr>
            <m:sty m:val="p"/>
          </m:rPr>
          <m:t>,</m:t>
        </m:r>
        <m:sSub>
          <m:e>
            <m:r>
              <m:t>h</m:t>
            </m:r>
          </m:e>
          <m:sub>
            <m:r>
              <m:t>j</m:t>
            </m:r>
          </m:sub>
        </m:sSub>
      </m:oMath>
      <w:r>
        <w:t xml:space="preserve"> </w:t>
      </w:r>
      <w:r>
        <w:t xml:space="preserve">define</w:t>
      </w:r>
    </w:p>
    <w:p>
      <w:pPr>
        <w:pStyle w:val="BodyText"/>
      </w:pPr>
      <m:oMathPara>
        <m:oMathParaPr>
          <m:jc m:val="center"/>
        </m:oMathParaPr>
        <m:oMath>
          <m:r>
            <m:rPr>
              <m:sty m:val="b"/>
            </m:rPr>
            <m:t>d</m:t>
          </m:r>
          <m:d>
            <m:dPr>
              <m:begChr m:val="("/>
              <m:endChr m:val=")"/>
              <m:sepChr m:val=""/>
              <m:grow/>
            </m:dPr>
            <m:e>
              <m:sSub>
                <m:e>
                  <m:r>
                    <m:t>h</m:t>
                  </m:r>
                </m:e>
                <m:sub>
                  <m:r>
                    <m:t>i</m:t>
                  </m:r>
                </m:sub>
              </m:sSub>
              <m:r>
                <m:rPr>
                  <m:sty m:val="p"/>
                </m:rPr>
                <m:t>,</m:t>
              </m:r>
              <m:sSub>
                <m:e>
                  <m:r>
                    <m:t>h</m:t>
                  </m:r>
                </m:e>
                <m:sub>
                  <m:r>
                    <m:t>j</m:t>
                  </m:r>
                </m:sub>
              </m:sSub>
            </m:e>
          </m:d>
          <m:r>
            <m:rPr>
              <m:sty m:val="p"/>
            </m:rPr>
            <m:t>=</m:t>
          </m:r>
          <m:d>
            <m:dPr>
              <m:begChr m:val="("/>
              <m:endChr m:val=")"/>
              <m:sepChr m:val=""/>
              <m:grow/>
            </m:dPr>
            <m:e>
              <m:sSub>
                <m:e>
                  <m:r>
                    <m:t>d</m:t>
                  </m:r>
                </m:e>
                <m:sub>
                  <m:r>
                    <m:rPr>
                      <m:sty m:val="p"/>
                    </m:rPr>
                    <m:t>p</m:t>
                  </m:r>
                  <m:r>
                    <m:rPr>
                      <m:sty m:val="p"/>
                    </m:rPr>
                    <m:t>r</m:t>
                  </m:r>
                  <m:r>
                    <m:rPr>
                      <m:sty m:val="p"/>
                    </m:rPr>
                    <m:t>e</m:t>
                  </m:r>
                  <m:r>
                    <m:rPr>
                      <m:sty m:val="p"/>
                    </m:rPr>
                    <m:t>d</m:t>
                  </m:r>
                </m:sub>
              </m:sSub>
              <m:r>
                <m:rPr>
                  <m:sty m:val="p"/>
                </m:rPr>
                <m:t>,</m:t>
              </m:r>
              <m:sSub>
                <m:e>
                  <m:r>
                    <m:t>d</m:t>
                  </m:r>
                </m:e>
                <m:sub>
                  <m:r>
                    <m:rPr>
                      <m:sty m:val="p"/>
                    </m:rPr>
                    <m:t>i</m:t>
                  </m:r>
                  <m:r>
                    <m:rPr>
                      <m:sty m:val="p"/>
                    </m:rPr>
                    <m:t>n</m:t>
                  </m:r>
                  <m:r>
                    <m:rPr>
                      <m:sty m:val="p"/>
                    </m:rPr>
                    <m:t>t</m:t>
                  </m:r>
                </m:sub>
              </m:sSub>
              <m:r>
                <m:rPr>
                  <m:sty m:val="p"/>
                </m:rPr>
                <m:t>,</m:t>
              </m:r>
              <m:sSub>
                <m:e>
                  <m:r>
                    <m:t>d</m:t>
                  </m:r>
                </m:e>
                <m:sub>
                  <m:r>
                    <m:rPr>
                      <m:sty m:val="p"/>
                    </m:rPr>
                    <m:t>s</m:t>
                  </m:r>
                  <m:r>
                    <m:rPr>
                      <m:sty m:val="p"/>
                    </m:rPr>
                    <m:t>t</m:t>
                  </m:r>
                  <m:r>
                    <m:rPr>
                      <m:sty m:val="p"/>
                    </m:rPr>
                    <m:t>r</m:t>
                  </m:r>
                  <m:r>
                    <m:rPr>
                      <m:sty m:val="p"/>
                    </m:rPr>
                    <m:t>u</m:t>
                  </m:r>
                  <m:r>
                    <m:rPr>
                      <m:sty m:val="p"/>
                    </m:rPr>
                    <m:t>c</m:t>
                  </m:r>
                  <m:r>
                    <m:rPr>
                      <m:sty m:val="p"/>
                    </m:rPr>
                    <m:t>t</m:t>
                  </m:r>
                </m:sub>
              </m:sSub>
              <m:r>
                <m:rPr>
                  <m:sty m:val="p"/>
                </m:rPr>
                <m:t>,</m:t>
              </m:r>
              <m:sSub>
                <m:e>
                  <m:r>
                    <m:t>d</m:t>
                  </m:r>
                </m:e>
                <m:sub>
                  <m:r>
                    <m:rPr>
                      <m:sty m:val="p"/>
                    </m:rPr>
                    <m:t>t</m:t>
                  </m:r>
                  <m:r>
                    <m:rPr>
                      <m:sty m:val="p"/>
                    </m:rPr>
                    <m:t>e</m:t>
                  </m:r>
                  <m:r>
                    <m:rPr>
                      <m:sty m:val="p"/>
                    </m:rPr>
                    <m:t>m</m:t>
                  </m:r>
                  <m:r>
                    <m:rPr>
                      <m:sty m:val="p"/>
                    </m:rPr>
                    <m:t>p</m:t>
                  </m:r>
                </m:sub>
              </m:sSub>
              <m:r>
                <m:rPr>
                  <m:sty m:val="p"/>
                </m:rPr>
                <m:t>,</m:t>
              </m:r>
              <m:sSub>
                <m:e>
                  <m:r>
                    <m:t>d</m:t>
                  </m:r>
                </m:e>
                <m:sub>
                  <m:r>
                    <m:rPr>
                      <m:sty m:val="p"/>
                    </m:rPr>
                    <m:t>r</m:t>
                  </m:r>
                  <m:r>
                    <m:rPr>
                      <m:sty m:val="p"/>
                    </m:rPr>
                    <m:t>e</m:t>
                  </m:r>
                  <m:r>
                    <m:rPr>
                      <m:sty m:val="p"/>
                    </m:rPr>
                    <m:t>p</m:t>
                  </m:r>
                  <m:r>
                    <m:rPr>
                      <m:sty m:val="p"/>
                    </m:rPr>
                    <m:t>r</m:t>
                  </m:r>
                </m:sub>
              </m:sSub>
              <m:r>
                <m:rPr>
                  <m:sty m:val="p"/>
                </m:rPr>
                <m:t>,</m:t>
              </m:r>
              <m:sSub>
                <m:e>
                  <m:r>
                    <m:t>d</m:t>
                  </m:r>
                </m:e>
                <m:sub>
                  <m:r>
                    <m:rPr>
                      <m:sty m:val="p"/>
                    </m:rPr>
                    <m:t>p</m:t>
                  </m:r>
                  <m:r>
                    <m:rPr>
                      <m:sty m:val="p"/>
                    </m:rPr>
                    <m:t>r</m:t>
                  </m:r>
                  <m:r>
                    <m:rPr>
                      <m:sty m:val="p"/>
                    </m:rPr>
                    <m:t>o</m:t>
                  </m:r>
                  <m:r>
                    <m:rPr>
                      <m:sty m:val="p"/>
                    </m:rPr>
                    <m:t>v</m:t>
                  </m:r>
                </m:sub>
              </m:sSub>
            </m:e>
          </m:d>
          <m:r>
            <m:rPr>
              <m:sty m:val="p"/>
            </m:rPr>
            <m:t>,</m:t>
          </m:r>
        </m:oMath>
      </m:oMathPara>
    </w:p>
    <w:p>
      <w:pPr>
        <w:pStyle w:val="FirstParagraph"/>
      </w:pPr>
      <w:r>
        <w:t xml:space="preserve">where a component may be undefined if the relevant semantics do not exist for both members.</w:t>
      </w:r>
    </w:p>
    <w:p>
      <w:pPr>
        <w:pStyle w:val="CaptionedFigure"/>
      </w:pPr>
      <w:r>
        <w:drawing>
          <wp:inline>
            <wp:extent cx="5092446" cy="1437046"/>
            <wp:effectExtent b="0" l="0" r="0" t="0"/>
            <wp:docPr descr="Multi-view comparison of two hypotheses. The archive uses declared behavior-space views rather than an unconditional scalar distance." title="" id="25" name="Picture"/>
            <a:graphic>
              <a:graphicData uri="http://schemas.openxmlformats.org/drawingml/2006/picture">
                <pic:pic>
                  <pic:nvPicPr>
                    <pic:cNvPr descr="figures/views.png" id="26" name="Picture"/>
                    <pic:cNvPicPr>
                      <a:picLocks noChangeArrowheads="1" noChangeAspect="1"/>
                    </pic:cNvPicPr>
                  </pic:nvPicPr>
                  <pic:blipFill>
                    <a:blip r:embed="rId24"/>
                    <a:stretch>
                      <a:fillRect/>
                    </a:stretch>
                  </pic:blipFill>
                  <pic:spPr bwMode="auto">
                    <a:xfrm>
                      <a:off x="0" y="0"/>
                      <a:ext cx="5092446" cy="1437046"/>
                    </a:xfrm>
                    <a:prstGeom prst="rect">
                      <a:avLst/>
                    </a:prstGeom>
                    <a:noFill/>
                    <a:ln w="9525">
                      <a:noFill/>
                      <a:headEnd/>
                      <a:tailEnd/>
                    </a:ln>
                  </pic:spPr>
                </pic:pic>
              </a:graphicData>
            </a:graphic>
          </wp:inline>
        </w:drawing>
      </w:r>
    </w:p>
    <w:p>
      <w:pPr>
        <w:pStyle w:val="ImageCaption"/>
      </w:pPr>
      <w:r>
        <w:t xml:space="preserve">Multi-view comparison of two hypotheses. The archive uses declared behavior-space views rather than an unconditional scalar distance.</w:t>
      </w:r>
    </w:p>
    <w:bookmarkStart w:id="27" w:name="predictive-view"/>
    <w:p>
      <w:pPr>
        <w:pStyle w:val="Heading2"/>
        <w:keepNext/>
      </w:pPr>
      <w:r>
        <w:t xml:space="preserve">3.1 Predictive view</w:t>
      </w:r>
    </w:p>
    <w:p>
      <w:pPr>
        <w:pStyle w:val="FirstParagraph"/>
      </w:pPr>
      <w:r>
        <w:t xml:space="preserve">Let</w:t>
      </w:r>
      <w:r>
        <w:t xml:space="preserve"> </w:t>
      </w:r>
      <m:oMath>
        <m:sSubSup>
          <m:e>
            <m:r>
              <m:t>Q</m:t>
            </m:r>
          </m:e>
          <m:sub>
            <m:r>
              <m:t>i</m:t>
            </m:r>
          </m:sub>
          <m:sup>
            <m:r>
              <m:t>c</m:t>
            </m:r>
            <m:r>
              <m:rPr>
                <m:sty m:val="p"/>
              </m:rPr>
              <m:t>,</m:t>
            </m:r>
            <m:r>
              <m:t>τ</m:t>
            </m:r>
          </m:sup>
        </m:sSubSup>
      </m:oMath>
      <w:r>
        <w:t xml:space="preserve"> </w:t>
      </w:r>
      <w:r>
        <w:t xml:space="preserve">and</w:t>
      </w:r>
      <w:r>
        <w:t xml:space="preserve"> </w:t>
      </w:r>
      <m:oMath>
        <m:sSubSup>
          <m:e>
            <m:r>
              <m:t>Q</m:t>
            </m:r>
          </m:e>
          <m:sub>
            <m:r>
              <m:t>j</m:t>
            </m:r>
          </m:sub>
          <m:sup>
            <m:r>
              <m:t>c</m:t>
            </m:r>
            <m:r>
              <m:rPr>
                <m:sty m:val="p"/>
              </m:rPr>
              <m:t>,</m:t>
            </m:r>
            <m:r>
              <m:t>τ</m:t>
            </m:r>
          </m:sup>
        </m:sSubSup>
      </m:oMath>
      <w:r>
        <w:t xml:space="preserve"> </w:t>
      </w:r>
      <w:r>
        <w:t xml:space="preserve">denote the predictive distributions produced under the same context</w:t>
      </w:r>
      <w:r>
        <w:t xml:space="preserve"> </w:t>
      </w:r>
      <m:oMath>
        <m:r>
          <m:t>c</m:t>
        </m:r>
      </m:oMath>
      <w:r>
        <w:t xml:space="preserve"> </w:t>
      </w:r>
      <w:r>
        <w:t xml:space="preserve">and forecast horizon</w:t>
      </w:r>
      <w:r>
        <w:t xml:space="preserve"> </w:t>
      </w:r>
      <m:oMath>
        <m:r>
          <m:t>τ</m:t>
        </m:r>
      </m:oMath>
      <w:r>
        <w:t xml:space="preserve">. Suitable comparisons include Wasserstein distance when outcome geometry matters</w:t>
      </w:r>
      <w:r>
        <w:t xml:space="preserve"> </w:t>
      </w:r>
      <w:r>
        <w:t xml:space="preserve">[13]</w:t>
      </w:r>
      <w:r>
        <w:t xml:space="preserve">, Jensen-Shannon distance when densities are available, and maximum mean discrepancy (MMD) when only samples are available</w:t>
      </w:r>
      <w:r>
        <w:t xml:space="preserve"> </w:t>
      </w:r>
      <w:r>
        <w:t xml:space="preserve">[14]</w:t>
      </w:r>
      <w:r>
        <w:t xml:space="preserve">.</w:t>
      </w:r>
    </w:p>
    <w:p>
      <w:pPr>
        <w:pStyle w:val="BodyText"/>
      </w:pPr>
      <w:r>
        <w:t xml:space="preserve">For a characteristic kernel</w:t>
      </w:r>
      <w:r>
        <w:t xml:space="preserve"> </w:t>
      </w:r>
      <m:oMath>
        <m:r>
          <m:t>k</m:t>
        </m:r>
      </m:oMath>
      <w:r>
        <w:t xml:space="preserve"> </w:t>
      </w:r>
      <w:r>
        <w:t xml:space="preserve">on observable space, squared MMD is</w:t>
      </w:r>
    </w:p>
    <w:p>
      <w:pPr>
        <w:pStyle w:val="BodyText"/>
      </w:pPr>
      <m:oMathPara>
        <m:oMathParaPr>
          <m:jc m:val="center"/>
        </m:oMathParaPr>
        <m:oMath>
          <m:sSubSup>
            <m:e>
              <m:r>
                <m:rPr>
                  <m:sty m:val="p"/>
                </m:rPr>
                <m:t>MMD</m:t>
              </m:r>
            </m:e>
            <m:sub>
              <m:r>
                <m:t>k</m:t>
              </m:r>
            </m:sub>
            <m:sup>
              <m:r>
                <m:t>2</m:t>
              </m:r>
            </m:sup>
          </m:sSubSup>
          <m:d>
            <m:dPr>
              <m:begChr m:val="("/>
              <m:endChr m:val=")"/>
              <m:sepChr m:val=""/>
              <m:grow/>
            </m:dPr>
            <m:e>
              <m:r>
                <m:t>P</m:t>
              </m:r>
              <m:r>
                <m:rPr>
                  <m:sty m:val="p"/>
                </m:rPr>
                <m:t>,</m:t>
              </m:r>
              <m:r>
                <m:t>Q</m:t>
              </m:r>
            </m:e>
          </m:d>
          <m:r>
            <m:rPr>
              <m:sty m:val="p"/>
            </m:rPr>
            <m:t>=</m:t>
          </m:r>
          <m:sSub>
            <m:e>
              <m:r>
                <m:rPr>
                  <m:sty m:val="p"/>
                  <m:scr m:val="double-struck"/>
                </m:rPr>
                <m:t>E</m:t>
              </m:r>
            </m:e>
            <m:sub>
              <m:r>
                <m:t>X</m:t>
              </m:r>
              <m:r>
                <m:rPr>
                  <m:sty m:val="p"/>
                </m:rPr>
                <m:t>,</m:t>
              </m:r>
              <m:r>
                <m:t>X</m:t>
              </m:r>
              <m:r>
                <m:rPr>
                  <m:sty m:val="p"/>
                </m:rPr>
                <m:t>′</m:t>
              </m:r>
              <m:r>
                <m:rPr>
                  <m:sty m:val="p"/>
                </m:rPr>
                <m:t>∼</m:t>
              </m:r>
              <m:r>
                <m:t>P</m:t>
              </m:r>
            </m:sub>
          </m:sSub>
          <m:r>
            <m:t>k</m:t>
          </m:r>
          <m:d>
            <m:dPr>
              <m:begChr m:val="("/>
              <m:endChr m:val=")"/>
              <m:sepChr m:val=""/>
              <m:grow/>
            </m:dPr>
            <m:e>
              <m:r>
                <m:t>X</m:t>
              </m:r>
              <m:r>
                <m:rPr>
                  <m:sty m:val="p"/>
                </m:rPr>
                <m:t>,</m:t>
              </m:r>
              <m:r>
                <m:t>X</m:t>
              </m:r>
              <m:r>
                <m:rPr>
                  <m:sty m:val="p"/>
                </m:rPr>
                <m:t>′</m:t>
              </m:r>
            </m:e>
          </m:d>
          <m:r>
            <m:rPr>
              <m:sty m:val="p"/>
            </m:rPr>
            <m:t>+</m:t>
          </m:r>
          <m:sSub>
            <m:e>
              <m:r>
                <m:rPr>
                  <m:sty m:val="p"/>
                  <m:scr m:val="double-struck"/>
                </m:rPr>
                <m:t>E</m:t>
              </m:r>
            </m:e>
            <m:sub>
              <m:r>
                <m:t>Y</m:t>
              </m:r>
              <m:r>
                <m:rPr>
                  <m:sty m:val="p"/>
                </m:rPr>
                <m:t>,</m:t>
              </m:r>
              <m:r>
                <m:t>Y</m:t>
              </m:r>
              <m:r>
                <m:rPr>
                  <m:sty m:val="p"/>
                </m:rPr>
                <m:t>′</m:t>
              </m:r>
              <m:r>
                <m:rPr>
                  <m:sty m:val="p"/>
                </m:rPr>
                <m:t>∼</m:t>
              </m:r>
              <m:r>
                <m:t>Q</m:t>
              </m:r>
            </m:sub>
          </m:sSub>
          <m:r>
            <m:t>k</m:t>
          </m:r>
          <m:d>
            <m:dPr>
              <m:begChr m:val="("/>
              <m:endChr m:val=")"/>
              <m:sepChr m:val=""/>
              <m:grow/>
            </m:dPr>
            <m:e>
              <m:r>
                <m:t>Y</m:t>
              </m:r>
              <m:r>
                <m:rPr>
                  <m:sty m:val="p"/>
                </m:rPr>
                <m:t>,</m:t>
              </m:r>
              <m:r>
                <m:t>Y</m:t>
              </m:r>
              <m:r>
                <m:rPr>
                  <m:sty m:val="p"/>
                </m:rPr>
                <m:t>′</m:t>
              </m:r>
            </m:e>
          </m:d>
          <m:r>
            <m:rPr>
              <m:sty m:val="p"/>
            </m:rPr>
            <m:t>−</m:t>
          </m:r>
          <m:r>
            <m:t>2</m:t>
          </m:r>
          <m:sSub>
            <m:e>
              <m:r>
                <m:rPr>
                  <m:sty m:val="p"/>
                  <m:scr m:val="double-struck"/>
                </m:rPr>
                <m:t>E</m:t>
              </m:r>
            </m:e>
            <m:sub>
              <m:r>
                <m:t>X</m:t>
              </m:r>
              <m:r>
                <m:rPr>
                  <m:sty m:val="p"/>
                </m:rPr>
                <m:t>∼</m:t>
              </m:r>
              <m:r>
                <m:t>P</m:t>
              </m:r>
              <m:r>
                <m:rPr>
                  <m:sty m:val="p"/>
                </m:rPr>
                <m:t>,</m:t>
              </m:r>
              <m:r>
                <m:t>Y</m:t>
              </m:r>
              <m:r>
                <m:rPr>
                  <m:sty m:val="p"/>
                </m:rPr>
                <m:t>∼</m:t>
              </m:r>
              <m:r>
                <m:t>Q</m:t>
              </m:r>
            </m:sub>
          </m:sSub>
          <m:r>
            <m:t>k</m:t>
          </m:r>
          <m:d>
            <m:dPr>
              <m:begChr m:val="("/>
              <m:endChr m:val=")"/>
              <m:sepChr m:val=""/>
              <m:grow/>
            </m:dPr>
            <m:e>
              <m:r>
                <m:t>X</m:t>
              </m:r>
              <m:r>
                <m:rPr>
                  <m:sty m:val="p"/>
                </m:rPr>
                <m:t>,</m:t>
              </m:r>
              <m:r>
                <m:t>Y</m:t>
              </m:r>
            </m:e>
          </m:d>
          <m:r>
            <m:rPr>
              <m:sty m:val="p"/>
            </m:rPr>
            <m:t>.</m:t>
          </m:r>
        </m:oMath>
      </m:oMathPara>
    </w:p>
    <w:p>
      <w:pPr>
        <w:pStyle w:val="FirstParagraph"/>
      </w:pPr>
      <w:r>
        <w:t xml:space="preserve">The predictive view is the default cross-family comparison because Assumption 1 requires each active hypothesis to expose consequences.</w:t>
      </w:r>
    </w:p>
    <w:bookmarkEnd w:id="27"/>
    <w:bookmarkStart w:id="28" w:name="causal-and-interventional-views"/>
    <w:p>
      <w:pPr>
        <w:pStyle w:val="Heading2"/>
        <w:keepNext/>
      </w:pPr>
      <w:r>
        <w:t xml:space="preserve">3.2 Causal and interventional views</w:t>
      </w:r>
    </w:p>
    <w:p>
      <w:pPr>
        <w:pStyle w:val="FirstParagraph"/>
      </w:pPr>
      <w:r>
        <w:t xml:space="preserve">When both hypotheses define a common intervention set</w:t>
      </w:r>
      <w:r>
        <w:t xml:space="preserve"> </w:t>
      </w:r>
      <m:oMath>
        <m:r>
          <m:rPr>
            <m:sty m:val="p"/>
            <m:scr m:val="script"/>
          </m:rPr>
          <m:t>J</m:t>
        </m:r>
      </m:oMath>
      <w:r>
        <w:t xml:space="preserve">, define an interventional response discrepancy</w:t>
      </w:r>
    </w:p>
    <w:p>
      <w:pPr>
        <w:pStyle w:val="BodyText"/>
      </w:pPr>
      <m:oMathPara>
        <m:oMathParaPr>
          <m:jc m:val="center"/>
        </m:oMathParaPr>
        <m:oMath>
          <m:sSub>
            <m:e>
              <m:r>
                <m:t>d</m:t>
              </m:r>
            </m:e>
            <m:sub>
              <m:r>
                <m:rPr>
                  <m:sty m:val="p"/>
                </m:rPr>
                <m:t>i</m:t>
              </m:r>
              <m:r>
                <m:rPr>
                  <m:sty m:val="p"/>
                </m:rPr>
                <m:t>n</m:t>
              </m:r>
              <m:r>
                <m:rPr>
                  <m:sty m:val="p"/>
                </m:rPr>
                <m:t>t</m:t>
              </m:r>
            </m:sub>
          </m:sSub>
          <m:d>
            <m:dPr>
              <m:begChr m:val="("/>
              <m:endChr m:val=")"/>
              <m:sepChr m:val=""/>
              <m:grow/>
            </m:dPr>
            <m:e>
              <m:sSub>
                <m:e>
                  <m:r>
                    <m:t>h</m:t>
                  </m:r>
                </m:e>
                <m:sub>
                  <m:r>
                    <m:t>i</m:t>
                  </m:r>
                </m:sub>
              </m:sSub>
              <m:r>
                <m:rPr>
                  <m:sty m:val="p"/>
                </m:rPr>
                <m:t>,</m:t>
              </m:r>
              <m:sSub>
                <m:e>
                  <m:r>
                    <m:t>h</m:t>
                  </m:r>
                </m:e>
                <m:sub>
                  <m:r>
                    <m:t>j</m:t>
                  </m:r>
                </m:sub>
              </m:sSub>
            </m:e>
          </m:d>
          <m:r>
            <m:rPr>
              <m:sty m:val="p"/>
            </m:rPr>
            <m:t>=</m:t>
          </m:r>
          <m:nary>
            <m:naryPr>
              <m:chr m:val="∫"/>
              <m:limLoc m:val="subSup"/>
              <m:subHide m:val="off"/>
              <m:supHide m:val="on"/>
            </m:naryPr>
            <m:sub>
              <m:r>
                <m:rPr>
                  <m:sty m:val="p"/>
                  <m:scr m:val="script"/>
                </m:rPr>
                <m:t>J</m:t>
              </m:r>
            </m:sub>
            <m:sup>
              <m:r>
                <m:t>​</m:t>
              </m:r>
            </m:sup>
            <m:e>
              <m:r>
                <m:t>D</m:t>
              </m:r>
            </m:e>
          </m:nary>
          <m:r>
            <m:t>​</m:t>
          </m:r>
          <m:d>
            <m:dPr>
              <m:begChr m:val="("/>
              <m:endChr m:val=")"/>
              <m:sepChr m:val=""/>
              <m:grow/>
            </m:dPr>
            <m:e>
              <m:sSub>
                <m:e>
                  <m:r>
                    <m:t>P</m:t>
                  </m:r>
                </m:e>
                <m:sub>
                  <m:r>
                    <m:t>i</m:t>
                  </m:r>
                </m:sub>
              </m:sSub>
              <m:d>
                <m:dPr>
                  <m:begChr m:val="("/>
                  <m:endChr m:val=")"/>
                  <m:sepChr m:val=""/>
                  <m:grow/>
                </m:dPr>
                <m:e>
                  <m:r>
                    <m:t>Y</m:t>
                  </m:r>
                  <m:r>
                    <m:rPr>
                      <m:sty m:val="p"/>
                    </m:rPr>
                    <m:t>∣</m:t>
                  </m:r>
                  <m:r>
                    <m:t>d</m:t>
                  </m:r>
                  <m:r>
                    <m:t>o</m:t>
                  </m:r>
                  <m:d>
                    <m:dPr>
                      <m:begChr m:val="("/>
                      <m:endChr m:val=")"/>
                      <m:sepChr m:val=""/>
                      <m:grow/>
                    </m:dPr>
                    <m:e>
                      <m:r>
                        <m:t>j</m:t>
                      </m:r>
                    </m:e>
                  </m:d>
                </m:e>
              </m:d>
              <m:r>
                <m:rPr>
                  <m:sty m:val="p"/>
                </m:rPr>
                <m:t>,</m:t>
              </m:r>
              <m:sSub>
                <m:e>
                  <m:r>
                    <m:t>P</m:t>
                  </m:r>
                </m:e>
                <m:sub>
                  <m:r>
                    <m:t>j</m:t>
                  </m:r>
                </m:sub>
              </m:sSub>
              <m:d>
                <m:dPr>
                  <m:begChr m:val="("/>
                  <m:endChr m:val=")"/>
                  <m:sepChr m:val=""/>
                  <m:grow/>
                </m:dPr>
                <m:e>
                  <m:r>
                    <m:t>Y</m:t>
                  </m:r>
                  <m:r>
                    <m:rPr>
                      <m:sty m:val="p"/>
                    </m:rPr>
                    <m:t>∣</m:t>
                  </m:r>
                  <m:r>
                    <m:t>d</m:t>
                  </m:r>
                  <m:r>
                    <m:t>o</m:t>
                  </m:r>
                  <m:d>
                    <m:dPr>
                      <m:begChr m:val="("/>
                      <m:endChr m:val=")"/>
                      <m:sepChr m:val=""/>
                      <m:grow/>
                    </m:dPr>
                    <m:e>
                      <m:r>
                        <m:t>j</m:t>
                      </m:r>
                    </m:e>
                  </m:d>
                </m:e>
              </m:d>
            </m:e>
          </m:d>
          <m:r>
            <m:t> </m:t>
          </m:r>
          <m:r>
            <m:t>d</m:t>
          </m:r>
          <m:sSub>
            <m:e>
              <m:r>
                <m:t>μ</m:t>
              </m:r>
            </m:e>
            <m:sub>
              <m:r>
                <m:rPr>
                  <m:sty m:val="p"/>
                  <m:scr m:val="script"/>
                </m:rPr>
                <m:t>J</m:t>
              </m:r>
            </m:sub>
          </m:sSub>
          <m:d>
            <m:dPr>
              <m:begChr m:val="("/>
              <m:endChr m:val=")"/>
              <m:sepChr m:val=""/>
              <m:grow/>
            </m:dPr>
            <m:e>
              <m:r>
                <m:t>j</m:t>
              </m:r>
            </m:e>
          </m:d>
          <m:r>
            <m:rPr>
              <m:sty m:val="p"/>
            </m:rPr>
            <m:t>,</m:t>
          </m:r>
        </m:oMath>
      </m:oMathPara>
    </w:p>
    <w:p>
      <w:pPr>
        <w:pStyle w:val="FirstParagraph"/>
      </w:pPr>
      <w:r>
        <w:t xml:space="preserve">for a declared distributional discrepancy</w:t>
      </w:r>
      <w:r>
        <w:t xml:space="preserve"> </w:t>
      </w:r>
      <m:oMath>
        <m:r>
          <m:t>D</m:t>
        </m:r>
      </m:oMath>
      <w:r>
        <w:t xml:space="preserve"> </w:t>
      </w:r>
      <w:r>
        <w:t xml:space="preserve">and reference measure</w:t>
      </w:r>
      <w:r>
        <w:t xml:space="preserve"> </w:t>
      </w:r>
      <m:oMath>
        <m:sSub>
          <m:e>
            <m:r>
              <m:t>μ</m:t>
            </m:r>
          </m:e>
          <m:sub>
            <m:r>
              <m:rPr>
                <m:sty m:val="p"/>
                <m:scr m:val="script"/>
              </m:rPr>
              <m:t>J</m:t>
            </m:r>
          </m:sub>
        </m:sSub>
      </m:oMath>
      <w:r>
        <w:t xml:space="preserve">. For DAG-based causal models, Structural Intervention Distance can be used as a structural/interventional diagnostic under its stated assumptions</w:t>
      </w:r>
      <w:r>
        <w:t xml:space="preserve"> </w:t>
      </w:r>
      <w:r>
        <w:t xml:space="preserve">[15]</w:t>
      </w:r>
      <w:r>
        <w:t xml:space="preserve">. It is not a universal metric on all of</w:t>
      </w:r>
      <w:r>
        <w:t xml:space="preserve"> </w:t>
      </w:r>
      <m:oMath>
        <m:r>
          <m:rPr>
            <m:sty m:val="p"/>
            <m:scr m:val="script"/>
          </m:rPr>
          <m:t>H</m:t>
        </m:r>
      </m:oMath>
      <w:r>
        <w:t xml:space="preserve">.</w:t>
      </w:r>
    </w:p>
    <w:bookmarkEnd w:id="28"/>
    <w:bookmarkStart w:id="29" w:name="kernel-caution"/>
    <w:p>
      <w:pPr>
        <w:pStyle w:val="Heading2"/>
        <w:keepNext/>
      </w:pPr>
      <w:r>
        <w:t xml:space="preserve">3.3 Kernel caution</w:t>
      </w:r>
    </w:p>
    <w:p>
      <w:pPr>
        <w:pStyle w:val="FirstParagraph"/>
      </w:pPr>
      <w:r>
        <w:t xml:space="preserve">A common temptation is to transform any distance</w:t>
      </w:r>
      <w:r>
        <w:t xml:space="preserve"> </w:t>
      </w:r>
      <m:oMath>
        <m:r>
          <m:t>d</m:t>
        </m:r>
      </m:oMath>
      <w:r>
        <w:t xml:space="preserve"> </w:t>
      </w:r>
      <w:r>
        <w:t xml:space="preserve">into</w:t>
      </w:r>
    </w:p>
    <w:p>
      <w:pPr>
        <w:pStyle w:val="BodyText"/>
      </w:pPr>
      <m:oMathPara>
        <m:oMathParaPr>
          <m:jc m:val="center"/>
        </m:oMathParaPr>
        <m:oMath>
          <m:r>
            <m:t>k</m:t>
          </m:r>
          <m:d>
            <m:dPr>
              <m:begChr m:val="("/>
              <m:endChr m:val=")"/>
              <m:sepChr m:val=""/>
              <m:grow/>
            </m:dPr>
            <m:e>
              <m:r>
                <m:t>x</m:t>
              </m:r>
              <m:r>
                <m:rPr>
                  <m:sty m:val="p"/>
                </m:rPr>
                <m:t>,</m:t>
              </m:r>
              <m:r>
                <m:t>y</m:t>
              </m:r>
            </m:e>
          </m:d>
          <m:r>
            <m:rPr>
              <m:sty m:val="p"/>
            </m:rPr>
            <m:t>=</m:t>
          </m:r>
          <m:r>
            <m:rPr>
              <m:sty m:val="p"/>
            </m:rPr>
            <m:t>exp</m:t>
          </m:r>
          <m:r>
            <m:t>​</m:t>
          </m:r>
          <m:d>
            <m:dPr>
              <m:begChr m:val="("/>
              <m:endChr m:val=")"/>
              <m:sepChr m:val=""/>
              <m:grow/>
            </m:dPr>
            <m:e>
              <m:r>
                <m:rPr>
                  <m:sty m:val="p"/>
                </m:rPr>
                <m:t>−</m:t>
              </m:r>
              <m:f>
                <m:fPr>
                  <m:type m:val="bar"/>
                </m:fPr>
                <m:num>
                  <m:r>
                    <m:t>d</m:t>
                  </m:r>
                  <m:sSup>
                    <m:e>
                      <m:d>
                        <m:dPr>
                          <m:begChr m:val="("/>
                          <m:endChr m:val=")"/>
                          <m:sepChr m:val=""/>
                          <m:grow/>
                        </m:dPr>
                        <m:e>
                          <m:r>
                            <m:t>x</m:t>
                          </m:r>
                          <m:r>
                            <m:rPr>
                              <m:sty m:val="p"/>
                            </m:rPr>
                            <m:t>,</m:t>
                          </m:r>
                          <m:r>
                            <m:t>y</m:t>
                          </m:r>
                        </m:e>
                      </m:d>
                    </m:e>
                    <m:sup>
                      <m:r>
                        <m:t>2</m:t>
                      </m:r>
                    </m:sup>
                  </m:sSup>
                </m:num>
                <m:den>
                  <m:r>
                    <m:t>2</m:t>
                  </m:r>
                  <m:sSup>
                    <m:e>
                      <m:r>
                        <m:t>σ</m:t>
                      </m:r>
                    </m:e>
                    <m:sup>
                      <m:r>
                        <m:t>2</m:t>
                      </m:r>
                    </m:sup>
                  </m:sSup>
                </m:den>
              </m:f>
            </m:e>
          </m:d>
          <m:r>
            <m:rPr>
              <m:sty m:val="p"/>
            </m:rPr>
            <m:t>.</m:t>
          </m:r>
        </m:oMath>
      </m:oMathPara>
    </w:p>
    <w:p>
      <w:pPr>
        <w:pStyle w:val="FirstParagraph"/>
      </w:pPr>
      <w:r>
        <w:t xml:space="preserve">This is not automatically positive semidefinite. Schoenberg’s results require the relevant distance structure to satisfy negative-type conditions</w:t>
      </w:r>
      <w:r>
        <w:t xml:space="preserve"> </w:t>
      </w:r>
      <w:r>
        <w:t xml:space="preserve">[16], [17]</w:t>
      </w:r>
      <w:r>
        <w:t xml:space="preserve">. DHD therefore permits a kernel only on a channel for which positive semidefiniteness is established. MMD is constructed in an RKHS and does not require this conversion.</w:t>
      </w:r>
    </w:p>
    <w:p>
      <w:pPr>
        <w:pStyle w:val="BodyText"/>
      </w:pPr>
      <w:r>
        <w:rPr>
          <w:b/>
          <w:bCs/>
        </w:rPr>
        <w:t xml:space="preserve">Engineering Rule 1.</w:t>
      </w:r>
      <w:r>
        <w:t xml:space="preserve"> </w:t>
      </w:r>
      <w:r>
        <w:t xml:space="preserve">No implementation may create a DPP, kernel ridge model, or repulsive particle rule from a similarity matrix unless the required positive-semidefinite conditions are verified or an indefinite-kernel method is explicitly used.</w:t>
      </w:r>
    </w:p>
    <w:bookmarkEnd w:id="29"/>
    <w:bookmarkEnd w:id="30"/>
    <w:bookmarkStart w:id="33" w:name="equivalence-redundancy-and-contradiction"/>
    <w:p>
      <w:pPr>
        <w:pStyle w:val="Heading1"/>
        <w:keepNext/>
      </w:pPr>
      <w:r>
        <w:t xml:space="preserve">4. Equivalence, redundancy, and contradiction</w:t>
      </w:r>
    </w:p>
    <w:p>
      <w:pPr>
        <w:pStyle w:val="FirstParagraph"/>
      </w:pPr>
      <w:r>
        <w:t xml:space="preserve">DHD is intended to maintain contradictory explanations without confusing contradiction with invalidity. It must also avoid wasting resources on purely representational duplicates. These goals require a hierarchy of relations rather than one equivalence class.</w:t>
      </w:r>
    </w:p>
    <w:bookmarkStart w:id="31" w:name="layered-equivalence"/>
    <w:p>
      <w:pPr>
        <w:pStyle w:val="Heading2"/>
        <w:keepNext/>
      </w:pPr>
      <w:r>
        <w:t xml:space="preserve">4.1 Layered equivalence</w:t>
      </w:r>
    </w:p>
    <w:p>
      <w:pPr>
        <w:pStyle w:val="FirstParagraph"/>
      </w:pPr>
      <w:r>
        <w:rPr>
          <w:b/>
          <w:bCs/>
        </w:rPr>
        <w:t xml:space="preserve">Definition 5 (Equivalence hierarchy).</w:t>
      </w:r>
      <w:r>
        <w:t xml:space="preserve"> </w:t>
      </w:r>
      <w:r>
        <w:t xml:space="preserve">DHD distinguishes at least the following relations:</w:t>
      </w:r>
    </w:p>
    <w:p>
      <w:pPr>
        <w:pStyle w:val="BodyText"/>
      </w:pPr>
      <m:oMathPara>
        <m:oMathParaPr>
          <m:jc m:val="center"/>
        </m:oMathParaPr>
        <m:oMath>
          <m:sSub>
            <m:e>
              <m:r>
                <m:rPr>
                  <m:sty m:val="p"/>
                </m:rPr>
                <m:t>∼</m:t>
              </m:r>
            </m:e>
            <m:sub>
              <m:r>
                <m:rPr>
                  <m:sty m:val="p"/>
                </m:rPr>
                <m:t>s</m:t>
              </m:r>
              <m:r>
                <m:rPr>
                  <m:sty m:val="p"/>
                </m:rPr>
                <m:t>y</m:t>
              </m:r>
              <m:r>
                <m:rPr>
                  <m:sty m:val="p"/>
                </m:rPr>
                <m:t>n</m:t>
              </m:r>
            </m:sub>
          </m:sSub>
          <m:r>
            <m:rPr>
              <m:sty m:val="p"/>
            </m:rPr>
            <m:t>,</m:t>
          </m:r>
          <m:sSub>
            <m:e>
              <m:r>
                <m:rPr>
                  <m:sty m:val="p"/>
                </m:rPr>
                <m:t>∼</m:t>
              </m:r>
            </m:e>
            <m:sub>
              <m:r>
                <m:rPr>
                  <m:sty m:val="p"/>
                </m:rPr>
                <m:t>p</m:t>
              </m:r>
              <m:r>
                <m:rPr>
                  <m:sty m:val="p"/>
                </m:rPr>
                <m:t>a</m:t>
              </m:r>
              <m:r>
                <m:rPr>
                  <m:sty m:val="p"/>
                </m:rPr>
                <m:t>r</m:t>
              </m:r>
            </m:sub>
          </m:sSub>
          <m:r>
            <m:rPr>
              <m:sty m:val="p"/>
            </m:rPr>
            <m:t>,</m:t>
          </m:r>
          <m:sSub>
            <m:e>
              <m:r>
                <m:rPr>
                  <m:sty m:val="p"/>
                </m:rPr>
                <m:t>∼</m:t>
              </m:r>
            </m:e>
            <m:sub>
              <m:r>
                <m:rPr>
                  <m:sty m:val="p"/>
                </m:rPr>
                <m:t>o</m:t>
              </m:r>
              <m:r>
                <m:rPr>
                  <m:sty m:val="p"/>
                </m:rPr>
                <m:t>b</m:t>
              </m:r>
              <m:r>
                <m:rPr>
                  <m:sty m:val="p"/>
                </m:rPr>
                <m:t>s</m:t>
              </m:r>
            </m:sub>
          </m:sSub>
          <m:r>
            <m:rPr>
              <m:sty m:val="p"/>
            </m:rPr>
            <m:t>,</m:t>
          </m:r>
          <m:sSub>
            <m:e>
              <m:r>
                <m:rPr>
                  <m:sty m:val="p"/>
                </m:rPr>
                <m:t>∼</m:t>
              </m:r>
            </m:e>
            <m:sub>
              <m:r>
                <m:rPr>
                  <m:sty m:val="p"/>
                </m:rPr>
                <m:t>M</m:t>
              </m:r>
              <m:r>
                <m:rPr>
                  <m:sty m:val="p"/>
                </m:rPr>
                <m:t>a</m:t>
              </m:r>
              <m:r>
                <m:rPr>
                  <m:sty m:val="p"/>
                </m:rPr>
                <m:t>r</m:t>
              </m:r>
              <m:r>
                <m:rPr>
                  <m:sty m:val="p"/>
                </m:rPr>
                <m:t>k</m:t>
              </m:r>
              <m:r>
                <m:rPr>
                  <m:sty m:val="p"/>
                </m:rPr>
                <m:t>o</m:t>
              </m:r>
              <m:r>
                <m:rPr>
                  <m:sty m:val="p"/>
                </m:rPr>
                <m:t>v</m:t>
              </m:r>
            </m:sub>
          </m:sSub>
          <m:r>
            <m:rPr>
              <m:sty m:val="p"/>
            </m:rPr>
            <m:t>,</m:t>
          </m:r>
          <m:sSub>
            <m:e>
              <m:r>
                <m:rPr>
                  <m:sty m:val="p"/>
                </m:rPr>
                <m:t>∼</m:t>
              </m:r>
            </m:e>
            <m:sub>
              <m:r>
                <m:rPr>
                  <m:sty m:val="p"/>
                </m:rPr>
                <m:t>i</m:t>
              </m:r>
              <m:r>
                <m:rPr>
                  <m:sty m:val="p"/>
                </m:rPr>
                <m:t>n</m:t>
              </m:r>
              <m:r>
                <m:rPr>
                  <m:sty m:val="p"/>
                </m:rPr>
                <m:t>t</m:t>
              </m:r>
            </m:sub>
          </m:sSub>
          <m:r>
            <m:rPr>
              <m:sty m:val="p"/>
            </m:rPr>
            <m:t>,</m:t>
          </m:r>
          <m:sSub>
            <m:e>
              <m:r>
                <m:rPr>
                  <m:sty m:val="p"/>
                </m:rPr>
                <m:t>∼</m:t>
              </m:r>
            </m:e>
            <m:sub>
              <m:r>
                <m:rPr>
                  <m:sty m:val="p"/>
                </m:rPr>
                <m:t>c</m:t>
              </m:r>
              <m:r>
                <m:rPr>
                  <m:sty m:val="p"/>
                </m:rPr>
                <m:t>f</m:t>
              </m:r>
            </m:sub>
          </m:sSub>
          <m:r>
            <m:rPr>
              <m:sty m:val="p"/>
            </m:rPr>
            <m:t>,</m:t>
          </m:r>
          <m:sSub>
            <m:e>
              <m:r>
                <m:rPr>
                  <m:sty m:val="p"/>
                </m:rPr>
                <m:t>∼</m:t>
              </m:r>
            </m:e>
            <m:sub>
              <m:r>
                <m:rPr>
                  <m:sty m:val="p"/>
                </m:rPr>
                <m:t>t</m:t>
              </m:r>
              <m:r>
                <m:rPr>
                  <m:sty m:val="p"/>
                </m:rPr>
                <m:t>a</m:t>
              </m:r>
              <m:r>
                <m:rPr>
                  <m:sty m:val="p"/>
                </m:rPr>
                <m:t>s</m:t>
              </m:r>
              <m:r>
                <m:rPr>
                  <m:sty m:val="p"/>
                </m:rPr>
                <m:t>k</m:t>
              </m:r>
            </m:sub>
          </m:sSub>
          <m:r>
            <m:rPr>
              <m:sty m:val="p"/>
            </m:rPr>
            <m:t>.</m:t>
          </m:r>
        </m:oMath>
      </m:oMathPara>
    </w:p>
    <w:p>
      <w:pPr>
        <w:pStyle w:val="FirstParagraph"/>
      </w:pPr>
      <w:r>
        <w:t xml:space="preserve">They mean syntactic, reparameterization, observational, Markov, interventional, counterfactual, and task/horizon equivalence, respectively. These relations are not interchangeable. For example, two Markov-equivalent DAGs encode the same conditional-independence structure under the relevant assumptions but can remain distinct as causal hypotheses once intervention semantics are considered</w:t>
      </w:r>
      <w:r>
        <w:t xml:space="preserve"> </w:t>
      </w:r>
      <w:r>
        <w:t xml:space="preserve">[6], [7]</w:t>
      </w:r>
      <w:r>
        <w:t xml:space="preserve">.</w:t>
      </w:r>
    </w:p>
    <w:p>
      <w:pPr>
        <w:pStyle w:val="BodyText"/>
      </w:pPr>
      <w:r>
        <w:t xml:space="preserve">Resource compression should therefore occur at a declared layer. An archive may keep one representative per observational-equivalence class for a predictive task while preserving structurally distinct representatives in a compressed index when later interventions can distinguish them.</w:t>
      </w:r>
    </w:p>
    <w:bookmarkEnd w:id="31"/>
    <w:bookmarkStart w:id="32" w:name="contradiction-between-hypotheses"/>
    <w:p>
      <w:pPr>
        <w:pStyle w:val="Heading2"/>
        <w:keepNext/>
      </w:pPr>
      <w:r>
        <w:t xml:space="preserve">4.2 Contradiction between hypotheses</w:t>
      </w:r>
    </w:p>
    <w:p>
      <w:pPr>
        <w:pStyle w:val="FirstParagraph"/>
      </w:pPr>
      <w:r>
        <w:rPr>
          <w:b/>
          <w:bCs/>
        </w:rPr>
        <w:t xml:space="preserve">Definition 6 (Predictive contradiction).</w:t>
      </w:r>
      <w:r>
        <w:t xml:space="preserve"> </w:t>
      </w:r>
      <w:r>
        <w:t xml:space="preserve">For event</w:t>
      </w:r>
      <w:r>
        <w:t xml:space="preserve"> </w:t>
      </w:r>
      <m:oMath>
        <m:r>
          <m:t>E</m:t>
        </m:r>
      </m:oMath>
      <w:r>
        <w:t xml:space="preserve">, tolerance</w:t>
      </w:r>
      <w:r>
        <w:t xml:space="preserve"> </w:t>
      </w:r>
      <m:oMath>
        <m:r>
          <m:t>ϵ</m:t>
        </m:r>
        <m:r>
          <m:rPr>
            <m:sty m:val="p"/>
          </m:rPr>
          <m:t>∈</m:t>
        </m:r>
        <m:d>
          <m:dPr>
            <m:begChr m:val="("/>
            <m:endChr m:val=")"/>
            <m:sepChr m:val=""/>
            <m:grow/>
          </m:dPr>
          <m:e>
            <m:r>
              <m:t>0</m:t>
            </m:r>
            <m:r>
              <m:rPr>
                <m:sty m:val="p"/>
              </m:rPr>
              <m:t>,</m:t>
            </m:r>
            <m:r>
              <m:t>1</m:t>
            </m:r>
            <m:r>
              <m:rPr>
                <m:sty m:val="p"/>
              </m:rPr>
              <m:t>/</m:t>
            </m:r>
            <m:r>
              <m:t>2</m:t>
            </m:r>
          </m:e>
        </m:d>
      </m:oMath>
      <w:r>
        <w:t xml:space="preserve">, and common context</w:t>
      </w:r>
      <w:r>
        <w:t xml:space="preserve"> </w:t>
      </w:r>
      <m:oMath>
        <m:r>
          <m:t>c</m:t>
        </m:r>
      </m:oMath>
      <w:r>
        <w:t xml:space="preserve">,</w:t>
      </w:r>
      <w:r>
        <w:t xml:space="preserve"> </w:t>
      </w:r>
      <m:oMath>
        <m:sSub>
          <m:e>
            <m:r>
              <m:t>h</m:t>
            </m:r>
          </m:e>
          <m:sub>
            <m:r>
              <m:t>i</m:t>
            </m:r>
          </m:sub>
        </m:sSub>
      </m:oMath>
      <w:r>
        <w:t xml:space="preserve"> </w:t>
      </w:r>
      <w:r>
        <w:t xml:space="preserve">and</w:t>
      </w:r>
      <w:r>
        <w:t xml:space="preserve"> </w:t>
      </w:r>
      <m:oMath>
        <m:sSub>
          <m:e>
            <m:r>
              <m:t>h</m:t>
            </m:r>
          </m:e>
          <m:sub>
            <m:r>
              <m:t>j</m:t>
            </m:r>
          </m:sub>
        </m:sSub>
      </m:oMath>
      <w:r>
        <w:t xml:space="preserve"> </w:t>
      </w:r>
      <w:r>
        <w:t xml:space="preserve">are predictively contradictory if</w:t>
      </w:r>
    </w:p>
    <w:p>
      <w:pPr>
        <w:pStyle w:val="BodyText"/>
      </w:pPr>
      <m:oMathPara>
        <m:oMathParaPr>
          <m:jc m:val="center"/>
        </m:oMathParaPr>
        <m:oMath>
          <m:sSub>
            <m:e>
              <m:r>
                <m:t>P</m:t>
              </m:r>
            </m:e>
            <m:sub>
              <m:r>
                <m:t>i</m:t>
              </m:r>
            </m:sub>
          </m:sSub>
          <m:d>
            <m:dPr>
              <m:begChr m:val="("/>
              <m:endChr m:val=")"/>
              <m:sepChr m:val=""/>
              <m:grow/>
            </m:dPr>
            <m:e>
              <m:r>
                <m:t>E</m:t>
              </m:r>
              <m:r>
                <m:rPr>
                  <m:sty m:val="p"/>
                </m:rPr>
                <m:t>∣</m:t>
              </m:r>
              <m:r>
                <m:t>c</m:t>
              </m:r>
            </m:e>
          </m:d>
          <m:r>
            <m:rPr>
              <m:sty m:val="p"/>
            </m:rPr>
            <m:t>≥</m:t>
          </m:r>
          <m:r>
            <m:t>1</m:t>
          </m:r>
          <m:r>
            <m:rPr>
              <m:sty m:val="p"/>
            </m:rPr>
            <m:t>−</m:t>
          </m:r>
          <m:r>
            <m:t>ϵ</m:t>
          </m:r>
          <m:r>
            <m:t> </m:t>
          </m:r>
          <m:r>
            <m:rPr>
              <m:nor/>
              <m:sty m:val="p"/>
            </m:rPr>
            <m:t>and</m:t>
          </m:r>
          <m:r>
            <m:t> </m:t>
          </m:r>
          <m:sSub>
            <m:e>
              <m:r>
                <m:t>P</m:t>
              </m:r>
            </m:e>
            <m:sub>
              <m:r>
                <m:t>j</m:t>
              </m:r>
            </m:sub>
          </m:sSub>
          <m:d>
            <m:dPr>
              <m:begChr m:val="("/>
              <m:endChr m:val=")"/>
              <m:sepChr m:val=""/>
              <m:grow/>
            </m:dPr>
            <m:e>
              <m:r>
                <m:t>E</m:t>
              </m:r>
              <m:r>
                <m:rPr>
                  <m:sty m:val="p"/>
                </m:rPr>
                <m:t>∣</m:t>
              </m:r>
              <m:r>
                <m:t>c</m:t>
              </m:r>
            </m:e>
          </m:d>
          <m:r>
            <m:rPr>
              <m:sty m:val="p"/>
            </m:rPr>
            <m:t>≤</m:t>
          </m:r>
          <m:r>
            <m:t>ϵ</m:t>
          </m:r>
          <m:r>
            <m:rPr>
              <m:sty m:val="p"/>
            </m:rPr>
            <m:t>,</m:t>
          </m:r>
        </m:oMath>
      </m:oMathPara>
    </w:p>
    <w:p>
      <w:pPr>
        <w:pStyle w:val="FirstParagraph"/>
      </w:pPr>
      <w:r>
        <w:t xml:space="preserve">or vice versa.</w:t>
      </w:r>
    </w:p>
    <w:p>
      <w:pPr>
        <w:pStyle w:val="BodyText"/>
      </w:pPr>
      <w:r>
        <w:t xml:space="preserve">Analogous contradiction relations can be declared for causal sign, regime identity, temporal lag, or intervention response. A pair can be contradictory in one view and similar in another.</w:t>
      </w:r>
    </w:p>
    <w:p>
      <w:pPr>
        <w:pStyle w:val="BodyText"/>
      </w:pPr>
      <w:r>
        <w:rPr>
          <w:b/>
          <w:bCs/>
        </w:rPr>
        <w:t xml:space="preserve">Proposition 1 (Contradiction isolation).</w:t>
      </w:r>
      <w:r>
        <w:t xml:space="preserve"> </w:t>
      </w:r>
      <w:r>
        <w:t xml:space="preserve">Suppose each</w:t>
      </w:r>
      <w:r>
        <w:t xml:space="preserve"> </w:t>
      </w:r>
      <m:oMath>
        <m:r>
          <m:t>h</m:t>
        </m:r>
        <m:r>
          <m:rPr>
            <m:sty m:val="p"/>
          </m:rPr>
          <m:t>∈</m:t>
        </m:r>
        <m:r>
          <m:rPr>
            <m:sty m:val="p"/>
            <m:scr m:val="script"/>
          </m:rPr>
          <m:t>H</m:t>
        </m:r>
      </m:oMath>
      <w:r>
        <w:t xml:space="preserve"> </w:t>
      </w:r>
      <w:r>
        <w:t xml:space="preserve">is validated independently and DHD never forms the classical conjunction</w:t>
      </w:r>
      <w:r>
        <w:t xml:space="preserve"> </w:t>
      </w:r>
      <m:oMath>
        <m:sSub>
          <m:e>
            <m:r>
              <m:rPr>
                <m:sty m:val="p"/>
              </m:rPr>
              <m:t>⋀</m:t>
            </m:r>
          </m:e>
          <m:sub>
            <m:r>
              <m:t>h</m:t>
            </m:r>
            <m:r>
              <m:rPr>
                <m:sty m:val="p"/>
              </m:rPr>
              <m:t>∈</m:t>
            </m:r>
            <m:sSub>
              <m:e>
                <m:r>
                  <m:t>A</m:t>
                </m:r>
              </m:e>
              <m:sub>
                <m:r>
                  <m:t>t</m:t>
                </m:r>
              </m:sub>
            </m:sSub>
          </m:sub>
        </m:sSub>
        <m:r>
          <m:t>h</m:t>
        </m:r>
      </m:oMath>
      <w:r>
        <w:t xml:space="preserve"> </w:t>
      </w:r>
      <w:r>
        <w:t xml:space="preserve">as a single theory. Then contradiction between distinct members of</w:t>
      </w:r>
      <w:r>
        <w:t xml:space="preserve"> </w:t>
      </w:r>
      <m:oMath>
        <m:sSub>
          <m:e>
            <m:r>
              <m:t>A</m:t>
            </m:r>
          </m:e>
          <m:sub>
            <m:r>
              <m:t>t</m:t>
            </m:r>
          </m:sub>
        </m:sSub>
      </m:oMath>
      <w:r>
        <w:t xml:space="preserve"> </w:t>
      </w:r>
      <w:r>
        <w:t xml:space="preserve">does not imply internal inconsistency of any member.</w:t>
      </w:r>
    </w:p>
    <w:p>
      <w:pPr>
        <w:pStyle w:val="BodyText"/>
      </w:pPr>
      <w:r>
        <w:rPr>
          <w:b/>
          <w:bCs/>
        </w:rPr>
        <w:t xml:space="preserve">Proof.</w:t>
      </w:r>
      <w:r>
        <w:t xml:space="preserve"> </w:t>
      </w:r>
      <w:r>
        <w:t xml:space="preserve">Hard validity is evaluated on each typed hypothesis object. Contradiction is a binary relation between objects. Since DHD stores the objects as alternatives rather than conjoining their propositions into one deductive theory, a contradiction</w:t>
      </w:r>
      <w:r>
        <w:t xml:space="preserve"> </w:t>
      </w:r>
      <m:oMath>
        <m:sSub>
          <m:e>
            <m:r>
              <m:t>h</m:t>
            </m:r>
          </m:e>
          <m:sub>
            <m:r>
              <m:t>i</m:t>
            </m:r>
          </m:sub>
        </m:sSub>
        <m:r>
          <m:rPr>
            <m:sty m:val="p"/>
          </m:rPr>
          <m:t>⊥</m:t>
        </m:r>
        <m:sSub>
          <m:e>
            <m:r>
              <m:t>h</m:t>
            </m:r>
          </m:e>
          <m:sub>
            <m:r>
              <m:t>j</m:t>
            </m:r>
          </m:sub>
        </m:sSub>
      </m:oMath>
      <w:r>
        <w:t xml:space="preserve"> </w:t>
      </w:r>
      <w:r>
        <w:t xml:space="preserve">does not alter the validation result for</w:t>
      </w:r>
      <w:r>
        <w:t xml:space="preserve"> </w:t>
      </w:r>
      <m:oMath>
        <m:sSub>
          <m:e>
            <m:r>
              <m:t>h</m:t>
            </m:r>
          </m:e>
          <m:sub>
            <m:r>
              <m:t>i</m:t>
            </m:r>
          </m:sub>
        </m:sSub>
      </m:oMath>
      <w:r>
        <w:t xml:space="preserve"> </w:t>
      </w:r>
      <w:r>
        <w:t xml:space="preserve">or</w:t>
      </w:r>
      <w:r>
        <w:t xml:space="preserve"> </w:t>
      </w:r>
      <m:oMath>
        <m:sSub>
          <m:e>
            <m:r>
              <m:t>h</m:t>
            </m:r>
          </m:e>
          <m:sub>
            <m:r>
              <m:t>j</m:t>
            </m:r>
          </m:sub>
        </m:sSub>
      </m:oMath>
      <w:r>
        <w:t xml:space="preserve">. This is the same architectural separation exploited by assumption-based truth-maintenance systems, which maintain alternative consistent environments rather than allowing one contradiction to collapse the whole knowledge base</w:t>
      </w:r>
      <w:r>
        <w:t xml:space="preserve"> </w:t>
      </w:r>
      <w:r>
        <w:t xml:space="preserve">[18]</w:t>
      </w:r>
      <w:r>
        <w:t xml:space="preserve">.</w:t>
      </w:r>
      <w:r>
        <w:t xml:space="preserve"> </w:t>
      </w:r>
      <m:oMath>
        <m:r>
          <m:rPr>
            <m:sty m:val="p"/>
          </m:rPr>
          <m:t>▫</m:t>
        </m:r>
      </m:oMath>
    </w:p>
    <w:p>
      <w:pPr>
        <w:pStyle w:val="BodyText"/>
      </w:pPr>
      <w:r>
        <w:t xml:space="preserve">This result is simple but central: DHD is allowed to be collectively contradictory while each executable member remains internally coherent.</w:t>
      </w:r>
    </w:p>
    <w:bookmarkEnd w:id="32"/>
    <w:bookmarkEnd w:id="33"/>
    <w:bookmarkStart w:id="36" w:name="divergent-generation-operators"/>
    <w:p>
      <w:pPr>
        <w:pStyle w:val="Heading1"/>
        <w:keepNext/>
      </w:pPr>
      <w:r>
        <w:t xml:space="preserve">5. Divergent generation operators</w:t>
      </w:r>
    </w:p>
    <w:p>
      <w:pPr>
        <w:pStyle w:val="FirstParagraph"/>
      </w:pPr>
      <w:r>
        <w:t xml:space="preserve">A generator is not a free-form text prompt. It is a typed transformation with declared domain, codomain, preconditions, stochasticity, cost, and provenance effect.</w:t>
      </w:r>
    </w:p>
    <w:p>
      <w:pPr>
        <w:pStyle w:val="BodyText"/>
      </w:pPr>
      <w:r>
        <w:rPr>
          <w:b/>
          <w:bCs/>
        </w:rPr>
        <w:t xml:space="preserve">Definition 7 (Generator).</w:t>
      </w:r>
      <w:r>
        <w:t xml:space="preserve"> </w:t>
      </w:r>
      <w:r>
        <w:t xml:space="preserve">A generator</w:t>
      </w:r>
      <w:r>
        <w:t xml:space="preserve"> </w:t>
      </w:r>
      <m:oMath>
        <m:sSub>
          <m:e>
            <m:r>
              <m:t>G</m:t>
            </m:r>
          </m:e>
          <m:sub>
            <m:r>
              <m:t>g</m:t>
            </m:r>
          </m:sub>
        </m:sSub>
      </m:oMath>
      <w:r>
        <w:t xml:space="preserve"> </w:t>
      </w:r>
      <w:r>
        <w:t xml:space="preserve">is a typed partial stochastic map</w:t>
      </w:r>
    </w:p>
    <w:p>
      <w:pPr>
        <w:pStyle w:val="BodyText"/>
      </w:pPr>
      <m:oMathPara>
        <m:oMathParaPr>
          <m:jc m:val="center"/>
        </m:oMathParaPr>
        <m:oMath>
          <m:sSub>
            <m:e>
              <m:r>
                <m:t>G</m:t>
              </m:r>
            </m:e>
            <m:sub>
              <m:r>
                <m:t>g</m:t>
              </m:r>
            </m:sub>
          </m:sSub>
          <m:r>
            <m:rPr>
              <m:sty m:val="p"/>
            </m:rPr>
            <m:t>:</m:t>
          </m:r>
          <m:sSub>
            <m:e>
              <m:r>
                <m:rPr>
                  <m:sty m:val="p"/>
                  <m:scr m:val="script"/>
                </m:rPr>
                <m:t>H</m:t>
              </m:r>
            </m:e>
            <m:sub>
              <m:r>
                <m:rPr>
                  <m:sty m:val="p"/>
                </m:rPr>
                <m:t>i</m:t>
              </m:r>
              <m:r>
                <m:rPr>
                  <m:sty m:val="p"/>
                </m:rPr>
                <m:t>n</m:t>
              </m:r>
            </m:sub>
          </m:sSub>
          <m:r>
            <m:rPr>
              <m:sty m:val="p"/>
            </m:rPr>
            <m:t>×</m:t>
          </m:r>
          <m:sSub>
            <m:e>
              <m:r>
                <m:t>E</m:t>
              </m:r>
            </m:e>
            <m:sub>
              <m:r>
                <m:t>t</m:t>
              </m:r>
            </m:sub>
          </m:sSub>
          <m:r>
            <m:rPr>
              <m:sty m:val="p"/>
            </m:rPr>
            <m:t>×</m:t>
          </m:r>
          <m:sSubSup>
            <m:e>
              <m:r>
                <m:t>U</m:t>
              </m:r>
            </m:e>
            <m:sub>
              <m:r>
                <m:t>t</m:t>
              </m:r>
            </m:sub>
            <m:sup>
              <m:r>
                <m:t>D</m:t>
              </m:r>
            </m:sup>
          </m:sSubSup>
          <m:r>
            <m:rPr>
              <m:sty m:val="p"/>
            </m:rPr>
            <m:t>×</m:t>
          </m:r>
          <m:sSub>
            <m:e>
              <m:r>
                <m:t>Ξ</m:t>
              </m:r>
            </m:e>
            <m:sub>
              <m:r>
                <m:t>g</m:t>
              </m:r>
            </m:sub>
          </m:sSub>
          <m:r>
            <m:rPr>
              <m:sty m:val="p"/>
            </m:rPr>
            <m:t>⇢</m:t>
          </m:r>
          <m:r>
            <m:rPr>
              <m:sty m:val="p"/>
              <m:scr m:val="script"/>
            </m:rPr>
            <m:t>P</m:t>
          </m:r>
          <m:d>
            <m:dPr>
              <m:begChr m:val="("/>
              <m:endChr m:val=")"/>
              <m:sepChr m:val=""/>
              <m:grow/>
            </m:dPr>
            <m:e>
              <m:sSub>
                <m:e>
                  <m:r>
                    <m:rPr>
                      <m:sty m:val="p"/>
                      <m:scr m:val="script"/>
                    </m:rPr>
                    <m:t>H</m:t>
                  </m:r>
                </m:e>
                <m:sub>
                  <m:r>
                    <m:rPr>
                      <m:sty m:val="p"/>
                    </m:rPr>
                    <m:t>o</m:t>
                  </m:r>
                  <m:r>
                    <m:rPr>
                      <m:sty m:val="p"/>
                    </m:rPr>
                    <m:t>u</m:t>
                  </m:r>
                  <m:r>
                    <m:rPr>
                      <m:sty m:val="p"/>
                    </m:rPr>
                    <m:t>t</m:t>
                  </m:r>
                </m:sub>
              </m:sSub>
            </m:e>
          </m:d>
          <m:r>
            <m:rPr>
              <m:sty m:val="p"/>
            </m:rPr>
            <m:t>,</m:t>
          </m:r>
        </m:oMath>
      </m:oMathPara>
    </w:p>
    <w:p>
      <w:pPr>
        <w:pStyle w:val="FirstParagraph"/>
      </w:pPr>
      <w:r>
        <w:t xml:space="preserve">where</w:t>
      </w:r>
      <w:r>
        <w:t xml:space="preserve"> </w:t>
      </w:r>
      <m:oMath>
        <m:sSub>
          <m:e>
            <m:r>
              <m:t>E</m:t>
            </m:r>
          </m:e>
          <m:sub>
            <m:r>
              <m:t>t</m:t>
            </m:r>
          </m:sub>
        </m:sSub>
      </m:oMath>
      <w:r>
        <w:t xml:space="preserve"> </w:t>
      </w:r>
      <w:r>
        <w:t xml:space="preserve">is generation context,</w:t>
      </w:r>
      <w:r>
        <w:t xml:space="preserve"> </w:t>
      </w:r>
      <m:oMath>
        <m:sSubSup>
          <m:e>
            <m:r>
              <m:t>U</m:t>
            </m:r>
          </m:e>
          <m:sub>
            <m:r>
              <m:t>t</m:t>
            </m:r>
          </m:sub>
          <m:sup>
            <m:r>
              <m:t>D</m:t>
            </m:r>
          </m:sup>
        </m:sSubSup>
      </m:oMath>
      <w:r>
        <w:t xml:space="preserve"> </w:t>
      </w:r>
      <w:r>
        <w:t xml:space="preserve">is the DHD control state,</w:t>
      </w:r>
      <w:r>
        <w:t xml:space="preserve"> </w:t>
      </w:r>
      <m:oMath>
        <m:sSub>
          <m:e>
            <m:r>
              <m:t>Ξ</m:t>
            </m:r>
          </m:e>
          <m:sub>
            <m:r>
              <m:t>g</m:t>
            </m:r>
          </m:sub>
        </m:sSub>
      </m:oMath>
      <w:r>
        <w:t xml:space="preserve"> </w:t>
      </w:r>
      <w:r>
        <w:t xml:space="preserve">contains operator parameters, and</w:t>
      </w:r>
      <w:r>
        <w:t xml:space="preserve"> </w:t>
      </w:r>
      <m:oMath>
        <m:r>
          <m:rPr>
            <m:sty m:val="p"/>
            <m:scr m:val="script"/>
          </m:rPr>
          <m:t>P</m:t>
        </m:r>
      </m:oMath>
      <w:r>
        <w:t xml:space="preserve"> </w:t>
      </w:r>
      <w:r>
        <w:t xml:space="preserve">denotes a probability law over child hypotheses. The partial arrow denotes permitted failure when preconditions are not met.</w:t>
      </w:r>
    </w:p>
    <w:bookmarkStart w:id="34" w:name="core-generator-classes"/>
    <w:p>
      <w:pPr>
        <w:pStyle w:val="Heading2"/>
        <w:keepNext/>
      </w:pPr>
      <w:r>
        <w:t xml:space="preserve">5.1 Core generator classes</w:t>
      </w:r>
    </w:p>
    <w:p>
      <w:pPr>
        <w:pStyle w:val="FirstParagraph"/>
      </w:pPr>
      <w:r>
        <w:t xml:space="preserve">The minimum viable theory uses five broad classes; suboperators retain distinct provenance where useful.</w:t>
      </w:r>
    </w:p>
    <w:tbl>
      <w:tblPr>
        <w:tblStyle w:val="TableGrid"/>
        <w:tblW w:type="pct" w:w="5000"/>
        <w:jc w:val="center"/>
        <w:tblLayout w:type="fixed"/>
        <w:tblLook w:firstRow="1" w:lastRow="0" w:firstColumn="0" w:lastColumn="0" w:noHBand="0" w:noVBand="0" w:val="0020"/>
      </w:tblPr>
      <w:tblGrid>
        <w:gridCol w:w="1980"/>
        <w:gridCol w:w="1980"/>
        <w:gridCol w:w="1980"/>
        <w:gridCol w:w="1980"/>
      </w:tblGrid>
      <w:tr>
        <w:trPr>
          <w:tblHeader w:val="true"/>
        </w:trPr>
        <w:tc>
          <w:tcPr>
            <w:tcW w:type="dxa" w:w="1800"/>
            <w:vAlign w:val="center"/>
            <w:shd w:fill="EAF1F8"/>
          </w:tcPr>
          <w:p>
            <w:pPr>
              <w:spacing w:before="0" w:after="0" w:line="240" w:lineRule="auto"/>
            </w:pPr>
            <w:r>
              <w:rPr>
                <w:rFonts w:ascii="Times New Roman" w:hAnsi="Times New Roman"/>
                <w:b/>
                <w:sz w:val="17"/>
              </w:rPr>
              <w:t>Generator class</w:t>
            </w:r>
          </w:p>
        </w:tc>
        <w:tc>
          <w:tcPr>
            <w:tcW w:type="dxa" w:w="3816"/>
            <w:vAlign w:val="center"/>
            <w:shd w:fill="EAF1F8"/>
          </w:tcPr>
          <w:p>
            <w:pPr>
              <w:spacing w:before="0" w:after="0" w:line="240" w:lineRule="auto"/>
            </w:pPr>
            <w:r>
              <w:rPr>
                <w:rFonts w:ascii="Times New Roman" w:hAnsi="Times New Roman"/>
                <w:b/>
                <w:sz w:val="17"/>
              </w:rPr>
              <w:t>Typical transformation</w:t>
            </w:r>
          </w:p>
        </w:tc>
        <w:tc>
          <w:tcPr>
            <w:tcW w:type="dxa" w:w="2376"/>
            <w:vAlign w:val="center"/>
            <w:shd w:fill="EAF1F8"/>
          </w:tcPr>
          <w:p>
            <w:pPr>
              <w:spacing w:before="0" w:after="0" w:line="240" w:lineRule="auto"/>
            </w:pPr>
            <w:r>
              <w:rPr>
                <w:rFonts w:ascii="Times New Roman" w:hAnsi="Times New Roman"/>
                <w:b/>
                <w:sz w:val="17"/>
              </w:rPr>
              <w:t>Primary divergence channel</w:t>
            </w:r>
          </w:p>
        </w:tc>
        <w:tc>
          <w:tcPr>
            <w:tcW w:type="dxa" w:w="1800"/>
            <w:vAlign w:val="center"/>
            <w:shd w:fill="EAF1F8"/>
          </w:tcPr>
          <w:p>
            <w:pPr>
              <w:spacing w:before="0" w:after="0" w:line="240" w:lineRule="auto"/>
            </w:pPr>
            <w:r>
              <w:rPr>
                <w:rFonts w:ascii="Times New Roman" w:hAnsi="Times New Roman"/>
                <w:b/>
                <w:sz w:val="17"/>
              </w:rPr>
              <w:t>Example failure</w:t>
            </w:r>
          </w:p>
        </w:tc>
      </w:tr>
      <w:tr>
        <w:tc>
          <w:tcPr>
            <w:tcW w:type="dxa" w:w="1800"/>
            <w:vAlign w:val="center"/>
          </w:tcPr>
          <w:p>
            <w:pPr>
              <w:spacing w:before="0" w:after="0" w:line="240" w:lineRule="auto"/>
            </w:pPr>
            <w:r>
              <w:rPr>
                <w:rFonts w:ascii="Times New Roman" w:hAnsi="Times New Roman"/>
                <w:b w:val="0"/>
                <w:sz w:val="17"/>
              </w:rPr>
              <w:t>G_local</w:t>
            </w:r>
          </w:p>
        </w:tc>
        <w:tc>
          <w:tcPr>
            <w:tcW w:type="dxa" w:w="3816"/>
            <w:vAlign w:val="center"/>
          </w:tcPr>
          <w:p>
            <w:pPr>
              <w:spacing w:before="0" w:after="0" w:line="240" w:lineRule="auto"/>
            </w:pPr>
            <w:r>
              <w:rPr>
                <w:rFonts w:ascii="Times New Roman" w:hAnsi="Times New Roman"/>
                <w:b w:val="0"/>
                <w:sz w:val="17"/>
              </w:rPr>
              <w:t>parameter / mechanism perturbation</w:t>
            </w:r>
          </w:p>
        </w:tc>
        <w:tc>
          <w:tcPr>
            <w:tcW w:type="dxa" w:w="2376"/>
            <w:vAlign w:val="center"/>
          </w:tcPr>
          <w:p>
            <w:pPr>
              <w:spacing w:before="0" w:after="0" w:line="240" w:lineRule="auto"/>
            </w:pPr>
            <w:r>
              <w:rPr>
                <w:rFonts w:ascii="Times New Roman" w:hAnsi="Times New Roman"/>
                <w:b w:val="0"/>
                <w:sz w:val="17"/>
              </w:rPr>
              <w:t>parameter, predictive</w:t>
            </w:r>
          </w:p>
        </w:tc>
        <w:tc>
          <w:tcPr>
            <w:tcW w:type="dxa" w:w="1800"/>
            <w:vAlign w:val="center"/>
          </w:tcPr>
          <w:p>
            <w:pPr>
              <w:spacing w:before="0" w:after="0" w:line="240" w:lineRule="auto"/>
            </w:pPr>
            <w:r>
              <w:rPr>
                <w:rFonts w:ascii="Times New Roman" w:hAnsi="Times New Roman"/>
                <w:b w:val="0"/>
                <w:sz w:val="17"/>
              </w:rPr>
              <w:t>scale too small to produce novelty</w:t>
            </w:r>
          </w:p>
        </w:tc>
      </w:tr>
      <w:tr>
        <w:tc>
          <w:tcPr>
            <w:tcW w:type="dxa" w:w="1800"/>
            <w:vAlign w:val="center"/>
          </w:tcPr>
          <w:p>
            <w:pPr>
              <w:spacing w:before="0" w:after="0" w:line="240" w:lineRule="auto"/>
            </w:pPr>
            <w:r>
              <w:rPr>
                <w:rFonts w:ascii="Times New Roman" w:hAnsi="Times New Roman"/>
                <w:b w:val="0"/>
                <w:sz w:val="17"/>
              </w:rPr>
              <w:t>G_reg</w:t>
            </w:r>
          </w:p>
        </w:tc>
        <w:tc>
          <w:tcPr>
            <w:tcW w:type="dxa" w:w="3816"/>
            <w:vAlign w:val="center"/>
          </w:tcPr>
          <w:p>
            <w:pPr>
              <w:spacing w:before="0" w:after="0" w:line="240" w:lineRule="auto"/>
            </w:pPr>
            <w:r>
              <w:rPr>
                <w:rFonts w:ascii="Times New Roman" w:hAnsi="Times New Roman"/>
                <w:b w:val="0"/>
                <w:sz w:val="17"/>
              </w:rPr>
              <w:t>split/merge regime; change lag/horizon</w:t>
            </w:r>
          </w:p>
        </w:tc>
        <w:tc>
          <w:tcPr>
            <w:tcW w:type="dxa" w:w="2376"/>
            <w:vAlign w:val="center"/>
          </w:tcPr>
          <w:p>
            <w:pPr>
              <w:spacing w:before="0" w:after="0" w:line="240" w:lineRule="auto"/>
            </w:pPr>
            <w:r>
              <w:rPr>
                <w:rFonts w:ascii="Times New Roman" w:hAnsi="Times New Roman"/>
                <w:b w:val="0"/>
                <w:sz w:val="17"/>
              </w:rPr>
              <w:t>regime, temporal</w:t>
            </w:r>
          </w:p>
        </w:tc>
        <w:tc>
          <w:tcPr>
            <w:tcW w:type="dxa" w:w="1800"/>
            <w:vAlign w:val="center"/>
          </w:tcPr>
          <w:p>
            <w:pPr>
              <w:spacing w:before="0" w:after="0" w:line="240" w:lineRule="auto"/>
            </w:pPr>
            <w:r>
              <w:rPr>
                <w:rFonts w:ascii="Times New Roman" w:hAnsi="Times New Roman"/>
                <w:b w:val="0"/>
                <w:sz w:val="17"/>
              </w:rPr>
              <w:t>label proliferation / aliasing</w:t>
            </w:r>
          </w:p>
        </w:tc>
      </w:tr>
      <w:tr>
        <w:tc>
          <w:tcPr>
            <w:tcW w:type="dxa" w:w="1800"/>
            <w:vAlign w:val="center"/>
          </w:tcPr>
          <w:p>
            <w:pPr>
              <w:spacing w:before="0" w:after="0" w:line="240" w:lineRule="auto"/>
            </w:pPr>
            <w:r>
              <w:rPr>
                <w:rFonts w:ascii="Times New Roman" w:hAnsi="Times New Roman"/>
                <w:b w:val="0"/>
                <w:sz w:val="17"/>
              </w:rPr>
              <w:t>G_causal</w:t>
            </w:r>
          </w:p>
        </w:tc>
        <w:tc>
          <w:tcPr>
            <w:tcW w:type="dxa" w:w="3816"/>
            <w:vAlign w:val="center"/>
          </w:tcPr>
          <w:p>
            <w:pPr>
              <w:spacing w:before="0" w:after="0" w:line="240" w:lineRule="auto"/>
            </w:pPr>
            <w:r>
              <w:rPr>
                <w:rFonts w:ascii="Times New Roman" w:hAnsi="Times New Roman"/>
                <w:b w:val="0"/>
                <w:sz w:val="17"/>
              </w:rPr>
              <w:t>add/remove/reverse edge; add confounder; counterfactual surgery</w:t>
            </w:r>
          </w:p>
        </w:tc>
        <w:tc>
          <w:tcPr>
            <w:tcW w:type="dxa" w:w="2376"/>
            <w:vAlign w:val="center"/>
          </w:tcPr>
          <w:p>
            <w:pPr>
              <w:spacing w:before="0" w:after="0" w:line="240" w:lineRule="auto"/>
            </w:pPr>
            <w:r>
              <w:rPr>
                <w:rFonts w:ascii="Times New Roman" w:hAnsi="Times New Roman"/>
                <w:b w:val="0"/>
                <w:sz w:val="17"/>
              </w:rPr>
              <w:t>causal, interventional</w:t>
            </w:r>
          </w:p>
        </w:tc>
        <w:tc>
          <w:tcPr>
            <w:tcW w:type="dxa" w:w="1800"/>
            <w:vAlign w:val="center"/>
          </w:tcPr>
          <w:p>
            <w:pPr>
              <w:spacing w:before="0" w:after="0" w:line="240" w:lineRule="auto"/>
            </w:pPr>
            <w:r>
              <w:rPr>
                <w:rFonts w:ascii="Times New Roman" w:hAnsi="Times New Roman"/>
                <w:b w:val="0"/>
                <w:sz w:val="17"/>
              </w:rPr>
              <w:t>unsupported identification assumptions</w:t>
            </w:r>
          </w:p>
        </w:tc>
      </w:tr>
      <w:tr>
        <w:tc>
          <w:tcPr>
            <w:tcW w:type="dxa" w:w="1800"/>
            <w:vAlign w:val="center"/>
          </w:tcPr>
          <w:p>
            <w:pPr>
              <w:spacing w:before="0" w:after="0" w:line="240" w:lineRule="auto"/>
            </w:pPr>
            <w:r>
              <w:rPr>
                <w:rFonts w:ascii="Times New Roman" w:hAnsi="Times New Roman"/>
                <w:b w:val="0"/>
                <w:sz w:val="17"/>
              </w:rPr>
              <w:t>G_class</w:t>
            </w:r>
          </w:p>
        </w:tc>
        <w:tc>
          <w:tcPr>
            <w:tcW w:type="dxa" w:w="3816"/>
            <w:vAlign w:val="center"/>
          </w:tcPr>
          <w:p>
            <w:pPr>
              <w:spacing w:before="0" w:after="0" w:line="240" w:lineRule="auto"/>
            </w:pPr>
            <w:r>
              <w:rPr>
                <w:rFonts w:ascii="Times New Roman" w:hAnsi="Times New Roman"/>
                <w:b w:val="0"/>
                <w:sz w:val="17"/>
              </w:rPr>
              <w:t>change entire model family</w:t>
            </w:r>
          </w:p>
        </w:tc>
        <w:tc>
          <w:tcPr>
            <w:tcW w:type="dxa" w:w="2376"/>
            <w:vAlign w:val="center"/>
          </w:tcPr>
          <w:p>
            <w:pPr>
              <w:spacing w:before="0" w:after="0" w:line="240" w:lineRule="auto"/>
            </w:pPr>
            <w:r>
              <w:rPr>
                <w:rFonts w:ascii="Times New Roman" w:hAnsi="Times New Roman"/>
                <w:b w:val="0"/>
                <w:sz w:val="17"/>
              </w:rPr>
              <w:t>representational, predictive</w:t>
            </w:r>
          </w:p>
        </w:tc>
        <w:tc>
          <w:tcPr>
            <w:tcW w:type="dxa" w:w="1800"/>
            <w:vAlign w:val="center"/>
          </w:tcPr>
          <w:p>
            <w:pPr>
              <w:spacing w:before="0" w:after="0" w:line="240" w:lineRule="auto"/>
            </w:pPr>
            <w:r>
              <w:rPr>
                <w:rFonts w:ascii="Times New Roman" w:hAnsi="Times New Roman"/>
                <w:b w:val="0"/>
                <w:sz w:val="17"/>
              </w:rPr>
              <w:t>incomparable outputs without shared consequence API</w:t>
            </w:r>
          </w:p>
        </w:tc>
      </w:tr>
      <w:tr>
        <w:tc>
          <w:tcPr>
            <w:tcW w:type="dxa" w:w="1800"/>
            <w:vAlign w:val="center"/>
          </w:tcPr>
          <w:p>
            <w:pPr>
              <w:spacing w:before="0" w:after="0" w:line="240" w:lineRule="auto"/>
            </w:pPr>
            <w:r>
              <w:rPr>
                <w:rFonts w:ascii="Times New Roman" w:hAnsi="Times New Roman"/>
                <w:b w:val="0"/>
                <w:sz w:val="17"/>
              </w:rPr>
              <w:t>G_refl</w:t>
            </w:r>
          </w:p>
        </w:tc>
        <w:tc>
          <w:tcPr>
            <w:tcW w:type="dxa" w:w="3816"/>
            <w:vAlign w:val="center"/>
          </w:tcPr>
          <w:p>
            <w:pPr>
              <w:spacing w:before="0" w:after="0" w:line="240" w:lineRule="auto"/>
            </w:pPr>
            <w:r>
              <w:rPr>
                <w:rFonts w:ascii="Times New Roman" w:hAnsi="Times New Roman"/>
                <w:b w:val="0"/>
                <w:sz w:val="17"/>
              </w:rPr>
              <w:t>add belief-action-state feedback semantics</w:t>
            </w:r>
          </w:p>
        </w:tc>
        <w:tc>
          <w:tcPr>
            <w:tcW w:type="dxa" w:w="2376"/>
            <w:vAlign w:val="center"/>
          </w:tcPr>
          <w:p>
            <w:pPr>
              <w:spacing w:before="0" w:after="0" w:line="240" w:lineRule="auto"/>
            </w:pPr>
            <w:r>
              <w:rPr>
                <w:rFonts w:ascii="Times New Roman" w:hAnsi="Times New Roman"/>
                <w:b w:val="0"/>
                <w:sz w:val="17"/>
              </w:rPr>
              <w:t>reflexive, temporal</w:t>
            </w:r>
          </w:p>
        </w:tc>
        <w:tc>
          <w:tcPr>
            <w:tcW w:type="dxa" w:w="1800"/>
            <w:vAlign w:val="center"/>
          </w:tcPr>
          <w:p>
            <w:pPr>
              <w:spacing w:before="0" w:after="0" w:line="240" w:lineRule="auto"/>
            </w:pPr>
            <w:r>
              <w:rPr>
                <w:rFonts w:ascii="Times New Roman" w:hAnsi="Times New Roman"/>
                <w:b w:val="0"/>
                <w:sz w:val="17"/>
              </w:rPr>
              <w:t>unstable or non-executable recursion</w:t>
            </w:r>
          </w:p>
        </w:tc>
      </w:tr>
    </w:tbl>
    <w:p>
      <w:pPr>
        <w:pStyle w:val="BodyText"/>
      </w:pPr>
      <w:r>
        <w:t xml:space="preserve">Optional extensions include</w:t>
      </w:r>
      <w:r>
        <w:t xml:space="preserve"> </w:t>
      </w:r>
      <m:oMath>
        <m:sSub>
          <m:e>
            <m:r>
              <m:t>G</m:t>
            </m:r>
          </m:e>
          <m:sub>
            <m:r>
              <m:rPr>
                <m:sty m:val="p"/>
              </m:rPr>
              <m:t>a</m:t>
            </m:r>
            <m:r>
              <m:rPr>
                <m:sty m:val="p"/>
              </m:rPr>
              <m:t>n</m:t>
            </m:r>
            <m:r>
              <m:rPr>
                <m:sty m:val="p"/>
              </m:rPr>
              <m:t>a</m:t>
            </m:r>
            <m:r>
              <m:rPr>
                <m:sty m:val="p"/>
              </m:rPr>
              <m:t>l</m:t>
            </m:r>
            <m:r>
              <m:rPr>
                <m:sty m:val="p"/>
              </m:rPr>
              <m:t>o</m:t>
            </m:r>
            <m:r>
              <m:rPr>
                <m:sty m:val="p"/>
              </m:rPr>
              <m:t>g</m:t>
            </m:r>
            <m:r>
              <m:rPr>
                <m:sty m:val="p"/>
              </m:rPr>
              <m:t>y</m:t>
            </m:r>
          </m:sub>
        </m:sSub>
      </m:oMath>
      <w:r>
        <w:t xml:space="preserve">,</w:t>
      </w:r>
      <w:r>
        <w:t xml:space="preserve"> </w:t>
      </w:r>
      <m:oMath>
        <m:sSub>
          <m:e>
            <m:r>
              <m:t>G</m:t>
            </m:r>
          </m:e>
          <m:sub>
            <m:r>
              <m:rPr>
                <m:sty m:val="p"/>
              </m:rPr>
              <m:t>a</m:t>
            </m:r>
            <m:r>
              <m:rPr>
                <m:sty m:val="p"/>
              </m:rPr>
              <m:t>d</m:t>
            </m:r>
            <m:r>
              <m:rPr>
                <m:sty m:val="p"/>
              </m:rPr>
              <m:t>v</m:t>
            </m:r>
            <m:r>
              <m:rPr>
                <m:sty m:val="p"/>
              </m:rPr>
              <m:t>e</m:t>
            </m:r>
            <m:r>
              <m:rPr>
                <m:sty m:val="p"/>
              </m:rPr>
              <m:t>r</m:t>
            </m:r>
            <m:r>
              <m:rPr>
                <m:sty m:val="p"/>
              </m:rPr>
              <m:t>s</m:t>
            </m:r>
            <m:r>
              <m:rPr>
                <m:sty m:val="p"/>
              </m:rPr>
              <m:t>a</m:t>
            </m:r>
            <m:r>
              <m:rPr>
                <m:sty m:val="p"/>
              </m:rPr>
              <m:t>r</m:t>
            </m:r>
            <m:r>
              <m:rPr>
                <m:sty m:val="p"/>
              </m:rPr>
              <m:t>i</m:t>
            </m:r>
            <m:r>
              <m:rPr>
                <m:sty m:val="p"/>
              </m:rPr>
              <m:t>a</m:t>
            </m:r>
            <m:r>
              <m:rPr>
                <m:sty m:val="p"/>
              </m:rPr>
              <m:t>l</m:t>
            </m:r>
          </m:sub>
        </m:sSub>
      </m:oMath>
      <w:r>
        <w:t xml:space="preserve">, and a carefully defined rare-region generator. Causal inversion is best treated as a provenance-distinct special case of</w:t>
      </w:r>
      <w:r>
        <w:t xml:space="preserve"> </w:t>
      </w:r>
      <m:oMath>
        <m:sSub>
          <m:e>
            <m:r>
              <m:t>G</m:t>
            </m:r>
          </m:e>
          <m:sub>
            <m:r>
              <m:rPr>
                <m:sty m:val="p"/>
              </m:rPr>
              <m:t>c</m:t>
            </m:r>
            <m:r>
              <m:rPr>
                <m:sty m:val="p"/>
              </m:rPr>
              <m:t>a</m:t>
            </m:r>
            <m:r>
              <m:rPr>
                <m:sty m:val="p"/>
              </m:rPr>
              <m:t>u</m:t>
            </m:r>
            <m:r>
              <m:rPr>
                <m:sty m:val="p"/>
              </m:rPr>
              <m:t>s</m:t>
            </m:r>
            <m:r>
              <m:rPr>
                <m:sty m:val="p"/>
              </m:rPr>
              <m:t>a</m:t>
            </m:r>
            <m:r>
              <m:rPr>
                <m:sty m:val="p"/>
              </m:rPr>
              <m:t>l</m:t>
            </m:r>
          </m:sub>
        </m:sSub>
      </m:oMath>
      <w:r>
        <w:t xml:space="preserve">, not as evidence that the operator family must be mathematically disjoint.</w:t>
      </w:r>
    </w:p>
    <w:p>
      <w:pPr>
        <w:pStyle w:val="BodyText"/>
      </w:pPr>
      <w:r>
        <w:rPr>
          <w:b/>
          <w:bCs/>
        </w:rPr>
        <w:t xml:space="preserve">Definition 8 (Channel-coverage matrix).</w:t>
      </w:r>
      <w:r>
        <w:t xml:space="preserve"> </w:t>
      </w:r>
      <w:r>
        <w:t xml:space="preserve">Let</w:t>
      </w:r>
      <w:r>
        <w:t xml:space="preserve"> </w:t>
      </w:r>
      <m:oMath>
        <m:r>
          <m:rPr>
            <m:sty m:val="p"/>
            <m:scr m:val="script"/>
          </m:rPr>
          <m:t>C</m:t>
        </m:r>
      </m:oMath>
      <w:r>
        <w:t xml:space="preserve"> </w:t>
      </w:r>
      <w:r>
        <w:t xml:space="preserve">be the declared set of divergence channels. Define</w:t>
      </w:r>
    </w:p>
    <w:p>
      <w:pPr>
        <w:pStyle w:val="BodyText"/>
      </w:pPr>
      <m:oMathPara>
        <m:oMathParaPr>
          <m:jc m:val="center"/>
        </m:oMathParaPr>
        <m:oMath>
          <m:sSub>
            <m:e>
              <m:r>
                <m:t>A</m:t>
              </m:r>
            </m:e>
            <m:sub>
              <m:r>
                <m:t>g</m:t>
              </m:r>
              <m:r>
                <m:rPr>
                  <m:sty m:val="p"/>
                </m:rPr>
                <m:t>,</m:t>
              </m:r>
              <m:r>
                <m:t>c</m:t>
              </m:r>
            </m:sub>
          </m:sSub>
          <m:r>
            <m:rPr>
              <m:sty m:val="p"/>
            </m:rPr>
            <m:t>=</m:t>
          </m:r>
          <m:r>
            <m:rPr>
              <m:sty m:val="b"/>
            </m:rPr>
            <m:t>1</m:t>
          </m:r>
          <m:r>
            <m:rPr>
              <m:sty m:val="p"/>
            </m:rPr>
            <m:t>{</m:t>
          </m:r>
          <m:sSub>
            <m:e>
              <m:r>
                <m:t>G</m:t>
              </m:r>
            </m:e>
            <m:sub>
              <m:r>
                <m:t>g</m:t>
              </m:r>
            </m:sub>
          </m:sSub>
          <m:r>
            <m:rPr>
              <m:nor/>
              <m:sty m:val="p"/>
            </m:rPr>
            <m:t> can alter channel </m:t>
          </m:r>
          <m:r>
            <m:t>c</m:t>
          </m:r>
          <m:r>
            <m:rPr>
              <m:sty m:val="p"/>
            </m:rPr>
            <m:t>}</m:t>
          </m:r>
          <m:r>
            <m:rPr>
              <m:sty m:val="p"/>
            </m:rPr>
            <m:t>.</m:t>
          </m:r>
        </m:oMath>
      </m:oMathPara>
    </w:p>
    <w:p>
      <w:pPr>
        <w:pStyle w:val="FirstParagraph"/>
      </w:pPr>
      <w:r>
        <w:t xml:space="preserve">A generator library is channel-complete for</w:t>
      </w:r>
      <w:r>
        <w:t xml:space="preserve"> </w:t>
      </w:r>
      <m:oMath>
        <m:r>
          <m:rPr>
            <m:sty m:val="p"/>
            <m:scr m:val="script"/>
          </m:rPr>
          <m:t>C</m:t>
        </m:r>
      </m:oMath>
      <w:r>
        <w:t xml:space="preserve"> </w:t>
      </w:r>
      <w:r>
        <w:t xml:space="preserve">when every declared channel has at least one generator. This is a design invariant, not a proof of global search completeness.</w:t>
      </w:r>
    </w:p>
    <w:bookmarkEnd w:id="34"/>
    <w:bookmarkStart w:id="35" w:name="operator-composition-and-path-dependence"/>
    <w:p>
      <w:pPr>
        <w:pStyle w:val="Heading2"/>
        <w:keepNext/>
      </w:pPr>
      <w:r>
        <w:t xml:space="preserve">5.2 Operator composition and path dependence</w:t>
      </w:r>
    </w:p>
    <w:p>
      <w:pPr>
        <w:pStyle w:val="FirstParagraph"/>
      </w:pPr>
      <w:r>
        <w:t xml:space="preserve">For generators</w:t>
      </w:r>
      <w:r>
        <w:t xml:space="preserve"> </w:t>
      </w:r>
      <m:oMath>
        <m:sSub>
          <m:e>
            <m:r>
              <m:t>G</m:t>
            </m:r>
          </m:e>
          <m:sub>
            <m:r>
              <m:t>a</m:t>
            </m:r>
          </m:sub>
        </m:sSub>
        <m:r>
          <m:rPr>
            <m:sty m:val="p"/>
          </m:rPr>
          <m:t>,</m:t>
        </m:r>
        <m:sSub>
          <m:e>
            <m:r>
              <m:t>G</m:t>
            </m:r>
          </m:e>
          <m:sub>
            <m:r>
              <m:t>b</m:t>
            </m:r>
          </m:sub>
        </m:sSub>
      </m:oMath>
      <w:r>
        <w:t xml:space="preserve">, composition need not commute:</w:t>
      </w:r>
    </w:p>
    <w:p>
      <w:pPr>
        <w:pStyle w:val="BodyText"/>
      </w:pPr>
      <m:oMathPara>
        <m:oMathParaPr>
          <m:jc m:val="center"/>
        </m:oMathParaPr>
        <m:oMath>
          <m:sSub>
            <m:e>
              <m:r>
                <m:t>G</m:t>
              </m:r>
            </m:e>
            <m:sub>
              <m:r>
                <m:t>b</m:t>
              </m:r>
            </m:sub>
          </m:sSub>
          <m:r>
            <m:rPr>
              <m:sty m:val="p"/>
            </m:rPr>
            <m:t>∘</m:t>
          </m:r>
          <m:sSub>
            <m:e>
              <m:r>
                <m:t>G</m:t>
              </m:r>
            </m:e>
            <m:sub>
              <m:r>
                <m:t>a</m:t>
              </m:r>
            </m:sub>
          </m:sSub>
          <m:d>
            <m:dPr>
              <m:begChr m:val="("/>
              <m:endChr m:val=")"/>
              <m:sepChr m:val=""/>
              <m:grow/>
            </m:dPr>
            <m:e>
              <m:r>
                <m:t>h</m:t>
              </m:r>
            </m:e>
          </m:d>
          <m:sSub>
            <m:e>
              <m:r>
                <m:rPr>
                  <m:sty m:val="p"/>
                </m:rPr>
                <m:t>≢</m:t>
              </m:r>
            </m:e>
            <m:sub>
              <m:r>
                <m:t>d</m:t>
              </m:r>
            </m:sub>
          </m:sSub>
          <m:sSub>
            <m:e>
              <m:r>
                <m:t>G</m:t>
              </m:r>
            </m:e>
            <m:sub>
              <m:r>
                <m:t>a</m:t>
              </m:r>
            </m:sub>
          </m:sSub>
          <m:r>
            <m:rPr>
              <m:sty m:val="p"/>
            </m:rPr>
            <m:t>∘</m:t>
          </m:r>
          <m:sSub>
            <m:e>
              <m:r>
                <m:t>G</m:t>
              </m:r>
            </m:e>
            <m:sub>
              <m:r>
                <m:t>b</m:t>
              </m:r>
            </m:sub>
          </m:sSub>
          <m:d>
            <m:dPr>
              <m:begChr m:val="("/>
              <m:endChr m:val=")"/>
              <m:sepChr m:val=""/>
              <m:grow/>
            </m:dPr>
            <m:e>
              <m:r>
                <m:t>h</m:t>
              </m:r>
            </m:e>
          </m:d>
          <m:r>
            <m:rPr>
              <m:sty m:val="p"/>
            </m:rPr>
            <m:t>.</m:t>
          </m:r>
        </m:oMath>
      </m:oMathPara>
    </w:p>
    <w:p>
      <w:pPr>
        <w:pStyle w:val="FirstParagraph"/>
      </w:pPr>
      <w:r>
        <w:t xml:space="preserve">For example, adding a latent confounder before reversing an edge can create a different admissible causal family from reversing the edge first and then introducing the confounder. Operator-path dependence is therefore a legitimate source of exploratory divergence and must be recorded in provenance.</w:t>
      </w:r>
    </w:p>
    <w:p>
      <w:pPr>
        <w:pStyle w:val="BodyText"/>
      </w:pPr>
      <w:r>
        <w:rPr>
          <w:b/>
          <w:bCs/>
        </w:rPr>
        <w:t xml:space="preserve">Definition 9 (Reachable set).</w:t>
      </w:r>
      <w:r>
        <w:t xml:space="preserve"> </w:t>
      </w:r>
      <w:r>
        <w:t xml:space="preserve">Given seed set</w:t>
      </w:r>
      <w:r>
        <w:t xml:space="preserve"> </w:t>
      </w:r>
      <m:oMath>
        <m:sSub>
          <m:e>
            <m:r>
              <m:t>H</m:t>
            </m:r>
          </m:e>
          <m:sub>
            <m:r>
              <m:t>0</m:t>
            </m:r>
          </m:sub>
        </m:sSub>
      </m:oMath>
      <w:r>
        <w:t xml:space="preserve"> </w:t>
      </w:r>
      <w:r>
        <w:t xml:space="preserve">and generator family</w:t>
      </w:r>
      <w:r>
        <w:t xml:space="preserve"> </w:t>
      </w:r>
      <m:oMath>
        <m:r>
          <m:rPr>
            <m:sty m:val="p"/>
            <m:scr m:val="script"/>
          </m:rPr>
          <m:t>G</m:t>
        </m:r>
      </m:oMath>
      <w:r>
        <w:t xml:space="preserve">,</w:t>
      </w:r>
    </w:p>
    <w:p>
      <w:pPr>
        <w:pStyle w:val="BodyText"/>
      </w:pPr>
      <m:oMathPara>
        <m:oMathParaPr>
          <m:jc m:val="center"/>
        </m:oMathParaPr>
        <m:oMath>
          <m:r>
            <m:rPr>
              <m:sty m:val="p"/>
            </m:rPr>
            <m:t>Reach</m:t>
          </m:r>
          <m:d>
            <m:dPr>
              <m:begChr m:val="("/>
              <m:endChr m:val=")"/>
              <m:sepChr m:val=""/>
              <m:grow/>
            </m:dPr>
            <m:e>
              <m:sSub>
                <m:e>
                  <m:r>
                    <m:t>H</m:t>
                  </m:r>
                </m:e>
                <m:sub>
                  <m:r>
                    <m:t>0</m:t>
                  </m:r>
                </m:sub>
              </m:sSub>
              <m:r>
                <m:rPr>
                  <m:sty m:val="p"/>
                </m:rPr>
                <m:t>,</m:t>
              </m:r>
              <m:r>
                <m:rPr>
                  <m:sty m:val="p"/>
                  <m:scr m:val="script"/>
                </m:rPr>
                <m:t>G</m:t>
              </m:r>
            </m:e>
          </m:d>
          <m:r>
            <m:rPr>
              <m:sty m:val="p"/>
            </m:rPr>
            <m:t>=</m:t>
          </m:r>
          <m:bar>
            <m:barPr>
              <m:pos m:val="top"/>
            </m:barPr>
            <m:e>
              <m:r>
                <m:rPr>
                  <m:sty m:val="p"/>
                </m:rPr>
                <m:t>{</m:t>
              </m:r>
              <m:sSub>
                <m:e>
                  <m:r>
                    <m:t>G</m:t>
                  </m:r>
                </m:e>
                <m:sub>
                  <m:sSub>
                    <m:e>
                      <m:r>
                        <m:t>i</m:t>
                      </m:r>
                    </m:e>
                    <m:sub>
                      <m:r>
                        <m:t>m</m:t>
                      </m:r>
                    </m:sub>
                  </m:sSub>
                </m:sub>
              </m:sSub>
              <m:r>
                <m:rPr>
                  <m:sty m:val="p"/>
                </m:rPr>
                <m:t>∘</m:t>
              </m:r>
              <m:r>
                <m:rPr>
                  <m:sty m:val="p"/>
                </m:rPr>
                <m:t>⋯</m:t>
              </m:r>
              <m:r>
                <m:rPr>
                  <m:sty m:val="p"/>
                </m:rPr>
                <m:t>∘</m:t>
              </m:r>
              <m:sSub>
                <m:e>
                  <m:r>
                    <m:t>G</m:t>
                  </m:r>
                </m:e>
                <m:sub>
                  <m:sSub>
                    <m:e>
                      <m:r>
                        <m:t>i</m:t>
                      </m:r>
                    </m:e>
                    <m:sub>
                      <m:r>
                        <m:t>1</m:t>
                      </m:r>
                    </m:sub>
                  </m:sSub>
                </m:sub>
              </m:sSub>
              <m:d>
                <m:dPr>
                  <m:begChr m:val="("/>
                  <m:endChr m:val=")"/>
                  <m:sepChr m:val=""/>
                  <m:grow/>
                </m:dPr>
                <m:e>
                  <m:r>
                    <m:t>h</m:t>
                  </m:r>
                </m:e>
              </m:d>
              <m:r>
                <m:rPr>
                  <m:sty m:val="p"/>
                </m:rPr>
                <m:t>:</m:t>
              </m:r>
              <m:r>
                <m:t>h</m:t>
              </m:r>
              <m:r>
                <m:rPr>
                  <m:sty m:val="p"/>
                </m:rPr>
                <m:t>∈</m:t>
              </m:r>
              <m:sSub>
                <m:e>
                  <m:r>
                    <m:t>H</m:t>
                  </m:r>
                </m:e>
                <m:sub>
                  <m:r>
                    <m:t>0</m:t>
                  </m:r>
                </m:sub>
              </m:sSub>
              <m:r>
                <m:rPr>
                  <m:sty m:val="p"/>
                </m:rPr>
                <m:t>,</m:t>
              </m:r>
              <m:r>
                <m:t> </m:t>
              </m:r>
              <m:r>
                <m:t>m</m:t>
              </m:r>
              <m:r>
                <m:rPr>
                  <m:sty m:val="p"/>
                </m:rPr>
                <m:t>&lt;</m:t>
              </m:r>
              <m:r>
                <m:rPr>
                  <m:sty m:val="p"/>
                </m:rPr>
                <m:t>∞</m:t>
              </m:r>
              <m:r>
                <m:rPr>
                  <m:sty m:val="p"/>
                </m:rPr>
                <m:t>,</m:t>
              </m:r>
              <m:r>
                <m:t> </m:t>
              </m:r>
              <m:r>
                <m:rPr>
                  <m:nor/>
                  <m:sty m:val="p"/>
                </m:rPr>
                <m:t>all steps valid</m:t>
              </m:r>
              <m:r>
                <m:rPr>
                  <m:sty m:val="p"/>
                </m:rPr>
                <m:t>}</m:t>
              </m:r>
            </m:e>
          </m:bar>
          <m:r>
            <m:rPr>
              <m:sty m:val="p"/>
            </m:rPr>
            <m:t>.</m:t>
          </m:r>
        </m:oMath>
      </m:oMathPara>
    </w:p>
    <w:p>
      <w:pPr>
        <w:pStyle w:val="FirstParagraph"/>
      </w:pPr>
      <w:r>
        <w:t xml:space="preserve">No claim of global ergodicity is made. The relevant engineering question is whether the generator family provides useful coverage of a declared reachable subspace under finite resources.</w:t>
      </w:r>
    </w:p>
    <w:bookmarkEnd w:id="35"/>
    <w:bookmarkEnd w:id="36"/>
    <w:bookmarkStart w:id="42" w:name="Xede6fb325d939f1f8188e1b6d92b657aceffcaa"/>
    <w:p>
      <w:pPr>
        <w:pStyle w:val="Heading1"/>
        <w:keepNext/>
      </w:pPr>
      <w:r>
        <w:t xml:space="preserve">6. Controlled instability and the PDC interface</w:t>
      </w:r>
    </w:p>
    <w:p>
      <w:pPr>
        <w:pStyle w:val="FirstParagraph"/>
      </w:pPr>
      <w:r>
        <w:t xml:space="preserve">The original scalar control</w:t>
      </w:r>
      <w:r>
        <w:t xml:space="preserve"> </w:t>
      </w:r>
      <m:oMath>
        <m:sSup>
          <m:e>
            <m:r>
              <m:t>ρ</m:t>
            </m:r>
          </m:e>
          <m:sup>
            <m:r>
              <m:t>D</m:t>
            </m:r>
          </m:sup>
        </m:sSup>
        <m:r>
          <m:rPr>
            <m:sty m:val="p"/>
          </m:rPr>
          <m:t>∈</m:t>
        </m:r>
        <m:d>
          <m:dPr>
            <m:begChr m:val="["/>
            <m:endChr m:val="]"/>
            <m:sepChr m:val=""/>
            <m:grow/>
          </m:dPr>
          <m:e>
            <m:r>
              <m:t>0</m:t>
            </m:r>
            <m:r>
              <m:rPr>
                <m:sty m:val="p"/>
              </m:rPr>
              <m:t>,</m:t>
            </m:r>
            <m:r>
              <m:t>1</m:t>
            </m:r>
          </m:e>
        </m:d>
      </m:oMath>
      <w:r>
        <w:t xml:space="preserve"> </w:t>
      </w:r>
      <w:r>
        <w:t xml:space="preserve">is rejected because it conflates distinct physical decisions: which generator to use, how large a mutation to make, how many resources to allocate, and how broad the archive should remain.</w:t>
      </w:r>
    </w:p>
    <w:p>
      <w:pPr>
        <w:pStyle w:val="BodyText"/>
      </w:pPr>
      <w:r>
        <w:rPr>
          <w:b/>
          <w:bCs/>
        </w:rPr>
        <w:t xml:space="preserve">Definition 10 (DHD control tuple).</w:t>
      </w:r>
      <w:r>
        <w:t xml:space="preserve"> </w:t>
      </w:r>
      <w:r>
        <w:t xml:space="preserve">PDC supplies</w:t>
      </w:r>
    </w:p>
    <w:p>
      <w:pPr>
        <w:pStyle w:val="BodyText"/>
      </w:pPr>
      <m:oMathPara>
        <m:oMathParaPr>
          <m:jc m:val="center"/>
        </m:oMathParaPr>
        <m:oMath>
          <m:sSubSup>
            <m:e>
              <m:r>
                <m:t>u</m:t>
              </m:r>
            </m:e>
            <m:sub>
              <m:r>
                <m:t>t</m:t>
              </m:r>
            </m:sub>
            <m:sup>
              <m:r>
                <m:t>D</m:t>
              </m:r>
            </m:sup>
          </m:sSubSup>
          <m:r>
            <m:rPr>
              <m:sty m:val="p"/>
            </m:rPr>
            <m:t>=</m:t>
          </m:r>
          <m:d>
            <m:dPr>
              <m:begChr m:val="("/>
              <m:endChr m:val=")"/>
              <m:sepChr m:val=""/>
              <m:grow/>
            </m:dPr>
            <m:e>
              <m:sSubSup>
                <m:e>
                  <m:r>
                    <m:t>π</m:t>
                  </m:r>
                </m:e>
                <m:sub>
                  <m:r>
                    <m:t>t</m:t>
                  </m:r>
                </m:sub>
                <m:sup>
                  <m:r>
                    <m:t>G</m:t>
                  </m:r>
                </m:sup>
              </m:sSubSup>
              <m:d>
                <m:dPr>
                  <m:begChr m:val="("/>
                  <m:endChr m:val=")"/>
                  <m:sepChr m:val=""/>
                  <m:grow/>
                </m:dPr>
                <m:e>
                  <m:r>
                    <m:rPr>
                      <m:sty m:val="p"/>
                    </m:rPr>
                    <m:t>⋅</m:t>
                  </m:r>
                  <m:r>
                    <m:rPr>
                      <m:sty m:val="p"/>
                    </m:rPr>
                    <m:t>∣</m:t>
                  </m:r>
                  <m:sSubSup>
                    <m:e>
                      <m:r>
                        <m:t>C</m:t>
                      </m:r>
                    </m:e>
                    <m:sub>
                      <m:r>
                        <m:t>t</m:t>
                      </m:r>
                    </m:sub>
                    <m:sup>
                      <m:r>
                        <m:rPr>
                          <m:sty m:val="p"/>
                        </m:rPr>
                        <m:t>P</m:t>
                      </m:r>
                      <m:r>
                        <m:rPr>
                          <m:sty m:val="p"/>
                        </m:rPr>
                        <m:t>D</m:t>
                      </m:r>
                      <m:r>
                        <m:rPr>
                          <m:sty m:val="p"/>
                        </m:rPr>
                        <m:t>C</m:t>
                      </m:r>
                    </m:sup>
                  </m:sSubSup>
                </m:e>
              </m:d>
              <m:r>
                <m:rPr>
                  <m:sty m:val="p"/>
                </m:rPr>
                <m:t>,</m:t>
              </m:r>
              <m:sSub>
                <m:e>
                  <m:r>
                    <m:t>s</m:t>
                  </m:r>
                </m:e>
                <m:sub>
                  <m:r>
                    <m:t>t</m:t>
                  </m:r>
                </m:sub>
              </m:sSub>
              <m:r>
                <m:rPr>
                  <m:sty m:val="p"/>
                </m:rPr>
                <m:t>,</m:t>
              </m:r>
              <m:sSub>
                <m:e>
                  <m:r>
                    <m:t>B</m:t>
                  </m:r>
                </m:e>
                <m:sub>
                  <m:r>
                    <m:t>t</m:t>
                  </m:r>
                </m:sub>
              </m:sSub>
              <m:r>
                <m:rPr>
                  <m:sty m:val="p"/>
                </m:rPr>
                <m:t>,</m:t>
              </m:r>
              <m:sSub>
                <m:e>
                  <m:r>
                    <m:rPr>
                      <m:sty m:val="p"/>
                    </m:rPr>
                    <m:t>ℓ</m:t>
                  </m:r>
                </m:e>
                <m:sub>
                  <m:r>
                    <m:t>t</m:t>
                  </m:r>
                </m:sub>
              </m:sSub>
            </m:e>
          </m:d>
          <m:r>
            <m:rPr>
              <m:sty m:val="p"/>
            </m:rPr>
            <m:t>,</m:t>
          </m:r>
        </m:oMath>
      </m:oMathPara>
    </w:p>
    <w:p>
      <w:pPr>
        <w:pStyle w:val="FirstParagraph"/>
      </w:pPr>
      <w:r>
        <w:t xml:space="preserve">where:</w:t>
      </w:r>
    </w:p>
    <w:p>
      <w:pPr>
        <w:pStyle w:val="Compact"/>
        <w:numPr>
          <w:ilvl w:val="0"/>
          <w:numId w:val="1001"/>
        </w:numPr>
      </w:pPr>
      <m:oMath>
        <m:sSubSup>
          <m:e>
            <m:r>
              <m:t>π</m:t>
            </m:r>
          </m:e>
          <m:sub>
            <m:r>
              <m:t>t</m:t>
            </m:r>
          </m:sub>
          <m:sup>
            <m:r>
              <m:t>G</m:t>
            </m:r>
          </m:sup>
        </m:sSubSup>
      </m:oMath>
      <w:r>
        <w:t xml:space="preserve"> </w:t>
      </w:r>
      <w:r>
        <w:t xml:space="preserve">is a probability distribution over generator classes;</w:t>
      </w:r>
    </w:p>
    <w:p>
      <w:pPr>
        <w:pStyle w:val="Compact"/>
        <w:numPr>
          <w:ilvl w:val="0"/>
          <w:numId w:val="1001"/>
        </w:numPr>
      </w:pPr>
      <m:oMath>
        <m:sSub>
          <m:e>
            <m:r>
              <m:t>s</m:t>
            </m:r>
          </m:e>
          <m:sub>
            <m:r>
              <m:t>t</m:t>
            </m:r>
          </m:sub>
        </m:sSub>
      </m:oMath>
      <w:r>
        <w:t xml:space="preserve"> </w:t>
      </w:r>
      <w:r>
        <w:t xml:space="preserve">is a vector of operator-specific mutation scales;</w:t>
      </w:r>
    </w:p>
    <w:p>
      <w:pPr>
        <w:pStyle w:val="Compact"/>
        <w:numPr>
          <w:ilvl w:val="0"/>
          <w:numId w:val="1001"/>
        </w:numPr>
      </w:pPr>
      <m:oMath>
        <m:sSub>
          <m:e>
            <m:r>
              <m:t>B</m:t>
            </m:r>
          </m:e>
          <m:sub>
            <m:r>
              <m:t>t</m:t>
            </m:r>
          </m:sub>
        </m:sSub>
        <m:r>
          <m:rPr>
            <m:sty m:val="p"/>
          </m:rPr>
          <m:t>=</m:t>
        </m:r>
        <m:d>
          <m:dPr>
            <m:begChr m:val="("/>
            <m:endChr m:val=")"/>
            <m:sepChr m:val=""/>
            <m:grow/>
          </m:dPr>
          <m:e>
            <m:sSubSup>
              <m:e>
                <m:r>
                  <m:t>B</m:t>
                </m:r>
              </m:e>
              <m:sub>
                <m:r>
                  <m:t>t</m:t>
                </m:r>
              </m:sub>
              <m:sup>
                <m:r>
                  <m:rPr>
                    <m:sty m:val="p"/>
                  </m:rPr>
                  <m:t>c</m:t>
                </m:r>
                <m:r>
                  <m:rPr>
                    <m:sty m:val="p"/>
                  </m:rPr>
                  <m:t>p</m:t>
                </m:r>
                <m:r>
                  <m:rPr>
                    <m:sty m:val="p"/>
                  </m:rPr>
                  <m:t>u</m:t>
                </m:r>
              </m:sup>
            </m:sSubSup>
            <m:r>
              <m:rPr>
                <m:sty m:val="p"/>
              </m:rPr>
              <m:t>,</m:t>
            </m:r>
            <m:sSubSup>
              <m:e>
                <m:r>
                  <m:t>B</m:t>
                </m:r>
              </m:e>
              <m:sub>
                <m:r>
                  <m:t>t</m:t>
                </m:r>
              </m:sub>
              <m:sup>
                <m:r>
                  <m:rPr>
                    <m:sty m:val="p"/>
                  </m:rPr>
                  <m:t>m</m:t>
                </m:r>
                <m:r>
                  <m:rPr>
                    <m:sty m:val="p"/>
                  </m:rPr>
                  <m:t>e</m:t>
                </m:r>
                <m:r>
                  <m:rPr>
                    <m:sty m:val="p"/>
                  </m:rPr>
                  <m:t>m</m:t>
                </m:r>
              </m:sup>
            </m:sSubSup>
            <m:r>
              <m:rPr>
                <m:sty m:val="p"/>
              </m:rPr>
              <m:t>,</m:t>
            </m:r>
            <m:sSubSup>
              <m:e>
                <m:r>
                  <m:t>B</m:t>
                </m:r>
              </m:e>
              <m:sub>
                <m:r>
                  <m:t>t</m:t>
                </m:r>
              </m:sub>
              <m:sup>
                <m:r>
                  <m:rPr>
                    <m:sty m:val="p"/>
                  </m:rPr>
                  <m:t>l</m:t>
                </m:r>
                <m:r>
                  <m:rPr>
                    <m:sty m:val="p"/>
                  </m:rPr>
                  <m:t>a</m:t>
                </m:r>
                <m:r>
                  <m:rPr>
                    <m:sty m:val="p"/>
                  </m:rPr>
                  <m:t>t</m:t>
                </m:r>
              </m:sup>
            </m:sSubSup>
            <m:r>
              <m:rPr>
                <m:sty m:val="p"/>
              </m:rPr>
              <m:t>,</m:t>
            </m:r>
            <m:sSubSup>
              <m:e>
                <m:r>
                  <m:t>B</m:t>
                </m:r>
              </m:e>
              <m:sub>
                <m:r>
                  <m:t>t</m:t>
                </m:r>
              </m:sub>
              <m:sup>
                <m:r>
                  <m:rPr>
                    <m:sty m:val="p"/>
                  </m:rPr>
                  <m:t>p</m:t>
                </m:r>
                <m:r>
                  <m:rPr>
                    <m:sty m:val="p"/>
                  </m:rPr>
                  <m:t>o</m:t>
                </m:r>
                <m:r>
                  <m:rPr>
                    <m:sty m:val="p"/>
                  </m:rPr>
                  <m:t>p</m:t>
                </m:r>
              </m:sup>
            </m:sSubSup>
          </m:e>
        </m:d>
      </m:oMath>
      <w:r>
        <w:t xml:space="preserve"> </w:t>
      </w:r>
      <w:r>
        <w:t xml:space="preserve">is a resource budget;</w:t>
      </w:r>
    </w:p>
    <w:p>
      <w:pPr>
        <w:pStyle w:val="Compact"/>
        <w:numPr>
          <w:ilvl w:val="0"/>
          <w:numId w:val="1001"/>
        </w:numPr>
      </w:pPr>
      <m:oMath>
        <m:sSub>
          <m:e>
            <m:r>
              <m:rPr>
                <m:sty m:val="p"/>
              </m:rPr>
              <m:t>ℓ</m:t>
            </m:r>
          </m:e>
          <m:sub>
            <m:r>
              <m:t>t</m:t>
            </m:r>
          </m:sub>
        </m:sSub>
      </m:oMath>
      <w:r>
        <w:t xml:space="preserve"> </w:t>
      </w:r>
      <w:r>
        <w:t xml:space="preserve">is an archive novelty/admission scale.</w:t>
      </w:r>
    </w:p>
    <w:p>
      <w:pPr>
        <w:pStyle w:val="FirstParagraph"/>
      </w:pPr>
      <w:r>
        <w:t xml:space="preserve">The components are independent actuators. A system may, for example, keep a narrow archive while allowing occasional large causal mutations, or maintain broad behavioral coverage while restricting every individual mutation to be local.</w:t>
      </w:r>
    </w:p>
    <w:p>
      <w:pPr>
        <w:pStyle w:val="CaptionedFigure"/>
      </w:pPr>
      <w:r>
        <w:drawing>
          <wp:inline>
            <wp:extent cx="5899785" cy="641952"/>
            <wp:effectExtent b="0" l="0" r="0" t="0"/>
            <wp:docPr descr="DHD architecture and authority boundaries. DHD generates and archives; PDC allocates exploratory cognition; epistemic adjudication and policy remain separate." title="" id="38" name="Picture"/>
            <a:graphic>
              <a:graphicData uri="http://schemas.openxmlformats.org/drawingml/2006/picture">
                <pic:pic>
                  <pic:nvPicPr>
                    <pic:cNvPr descr="figures/architecture.png" id="39" name="Picture"/>
                    <pic:cNvPicPr>
                      <a:picLocks noChangeArrowheads="1" noChangeAspect="1"/>
                    </pic:cNvPicPr>
                  </pic:nvPicPr>
                  <pic:blipFill>
                    <a:blip r:embed="rId37"/>
                    <a:stretch>
                      <a:fillRect/>
                    </a:stretch>
                  </pic:blipFill>
                  <pic:spPr bwMode="auto">
                    <a:xfrm>
                      <a:off x="0" y="0"/>
                      <a:ext cx="5899785" cy="641952"/>
                    </a:xfrm>
                    <a:prstGeom prst="rect">
                      <a:avLst/>
                    </a:prstGeom>
                    <a:noFill/>
                    <a:ln w="9525">
                      <a:noFill/>
                      <a:headEnd/>
                      <a:tailEnd/>
                    </a:ln>
                  </pic:spPr>
                </pic:pic>
              </a:graphicData>
            </a:graphic>
          </wp:inline>
        </w:drawing>
      </w:r>
    </w:p>
    <w:p>
      <w:pPr>
        <w:pStyle w:val="ImageCaption"/>
      </w:pPr>
      <w:r>
        <w:t xml:space="preserve">DHD architecture and authority boundaries. DHD generates and archives; PDC allocates exploratory cognition; epistemic adjudication and policy remain separate.</w:t>
      </w:r>
    </w:p>
    <w:bookmarkStart w:id="40" w:name="firewalled-operator-adaptation"/>
    <w:p>
      <w:pPr>
        <w:pStyle w:val="Heading2"/>
        <w:keepNext/>
      </w:pPr>
      <w:r>
        <w:t xml:space="preserve">6.1 Firewalled operator adaptation</w:t>
      </w:r>
    </w:p>
    <w:p>
      <w:pPr>
        <w:pStyle w:val="FirstParagraph"/>
      </w:pPr>
      <w:r>
        <w:t xml:space="preserve">Operator allocation may adapt to DHD-internal rewards such as accepted novelty, new coverage, lineage diversity, validity rate, and cost efficiency. It must not be updated synchronously from realized predictive correctness, posterior belief, or trade profit; doing so would collapse generation into epistemic optimization.</w:t>
      </w:r>
    </w:p>
    <w:p>
      <w:pPr>
        <w:pStyle w:val="BodyText"/>
      </w:pPr>
      <w:r>
        <w:t xml:space="preserve">Delayed adjudicator feedback may be used by a higher-level research or configuration process, but the interface must label it as external performance feedback rather than as the DHD definition of novelty.</w:t>
      </w:r>
    </w:p>
    <w:bookmarkEnd w:id="40"/>
    <w:bookmarkStart w:id="41" w:name="no-lambda-or-kappa-control-inside-dhd"/>
    <w:p>
      <w:pPr>
        <w:pStyle w:val="Heading2"/>
        <w:keepNext/>
      </w:pPr>
      <w:r>
        <w:t xml:space="preserve">6.2 No lambda or kappa control inside DHD</w:t>
      </w:r>
    </w:p>
    <w:p>
      <w:pPr>
        <w:pStyle w:val="FirstParagraph"/>
      </w:pPr>
      <w:r>
        <w:t xml:space="preserve">PDC Version 2.1 retains</w:t>
      </w:r>
      <w:r>
        <w:t xml:space="preserve"> </w:t>
      </w:r>
      <m:oMath>
        <m:r>
          <m:t>λ</m:t>
        </m:r>
      </m:oMath>
      <w:r>
        <w:t xml:space="preserve"> </w:t>
      </w:r>
      <w:r>
        <w:t xml:space="preserve">only as a terminal compatibility projection and removes</w:t>
      </w:r>
      <w:r>
        <w:t xml:space="preserve"> </w:t>
      </w:r>
      <m:oMath>
        <m:r>
          <m:t>κ</m:t>
        </m:r>
      </m:oMath>
      <w:r>
        <w:t xml:space="preserve"> </w:t>
      </w:r>
      <w:r>
        <w:t xml:space="preserve">from causal decision logic</w:t>
      </w:r>
      <w:r>
        <w:t xml:space="preserve"> </w:t>
      </w:r>
      <w:r>
        <w:t xml:space="preserve">[12]</w:t>
      </w:r>
      <w:r>
        <w:t xml:space="preserve">. DHD therefore does not use historical</w:t>
      </w:r>
      <w:r>
        <w:t xml:space="preserve"> </w:t>
      </w:r>
      <m:oMath>
        <m:r>
          <m:t>λ</m:t>
        </m:r>
      </m:oMath>
      <w:r>
        <w:t xml:space="preserve"> </w:t>
      </w:r>
      <w:r>
        <w:t xml:space="preserve">or</w:t>
      </w:r>
      <w:r>
        <w:t xml:space="preserve"> </w:t>
      </w:r>
      <m:oMath>
        <m:r>
          <m:t>κ</m:t>
        </m:r>
      </m:oMath>
      <w:r>
        <w:t xml:space="preserve"> </w:t>
      </w:r>
      <w:r>
        <w:t xml:space="preserve">as internal controls. Any future integration paper may define observational relationships, but DHD’s canonical actuators are Equation (14).</w:t>
      </w:r>
    </w:p>
    <w:bookmarkEnd w:id="41"/>
    <w:bookmarkEnd w:id="42"/>
    <w:bookmarkStart w:id="51" w:name="archive-and-population-dynamics"/>
    <w:p>
      <w:pPr>
        <w:pStyle w:val="Heading1"/>
        <w:keepNext/>
      </w:pPr>
      <w:r>
        <w:t xml:space="preserve">7. Archive and population dynamics</w:t>
      </w:r>
    </w:p>
    <w:p>
      <w:pPr>
        <w:pStyle w:val="FirstParagraph"/>
      </w:pPr>
      <w:r>
        <w:t xml:space="preserve">DHD’s logical population is not a posterior particle cloud. The system distinguishes candidates, active members, dormant members, speculative objects, and compressed equivalence representatives.</w:t>
      </w:r>
    </w:p>
    <w:p>
      <w:pPr>
        <w:pStyle w:val="BodyText"/>
      </w:pPr>
      <w:r>
        <w:rPr>
          <w:b/>
          <w:bCs/>
        </w:rPr>
        <w:t xml:space="preserve">Definition 11 (Archive state).</w:t>
      </w:r>
      <w:r>
        <w:t xml:space="preserve"> </w:t>
      </w:r>
      <w:r>
        <w:t xml:space="preserve">At tick</w:t>
      </w:r>
      <w:r>
        <w:t xml:space="preserve"> </w:t>
      </w:r>
      <m:oMath>
        <m:r>
          <m:t>t</m:t>
        </m:r>
      </m:oMath>
      <w:r>
        <w:t xml:space="preserve"> </w:t>
      </w:r>
      <w:r>
        <w:t xml:space="preserve">define</w:t>
      </w:r>
    </w:p>
    <w:p>
      <w:pPr>
        <w:pStyle w:val="BodyText"/>
      </w:pPr>
      <m:oMathPara>
        <m:oMathParaPr>
          <m:jc m:val="center"/>
        </m:oMathParaPr>
        <m:oMath>
          <m:sSub>
            <m:e>
              <m:r>
                <m:rPr>
                  <m:sty m:val="p"/>
                  <m:scr m:val="fraktur"/>
                </m:rPr>
                <m:t>S</m:t>
              </m:r>
            </m:e>
            <m:sub>
              <m:r>
                <m:t>t</m:t>
              </m:r>
            </m:sub>
          </m:sSub>
          <m:r>
            <m:rPr>
              <m:sty m:val="p"/>
            </m:rPr>
            <m:t>=</m:t>
          </m:r>
          <m:d>
            <m:dPr>
              <m:begChr m:val="("/>
              <m:endChr m:val=")"/>
              <m:sepChr m:val=""/>
              <m:grow/>
            </m:dPr>
            <m:e>
              <m:sSub>
                <m:e>
                  <m:r>
                    <m:t>C</m:t>
                  </m:r>
                </m:e>
                <m:sub>
                  <m:r>
                    <m:t>t</m:t>
                  </m:r>
                </m:sub>
              </m:sSub>
              <m:r>
                <m:rPr>
                  <m:sty m:val="p"/>
                </m:rPr>
                <m:t>,</m:t>
              </m:r>
              <m:sSub>
                <m:e>
                  <m:r>
                    <m:t>A</m:t>
                  </m:r>
                </m:e>
                <m:sub>
                  <m:r>
                    <m:t>t</m:t>
                  </m:r>
                </m:sub>
              </m:sSub>
              <m:r>
                <m:rPr>
                  <m:sty m:val="p"/>
                </m:rPr>
                <m:t>,</m:t>
              </m:r>
              <m:sSub>
                <m:e>
                  <m:r>
                    <m:t>D</m:t>
                  </m:r>
                </m:e>
                <m:sub>
                  <m:r>
                    <m:t>t</m:t>
                  </m:r>
                </m:sub>
              </m:sSub>
              <m:r>
                <m:rPr>
                  <m:sty m:val="p"/>
                </m:rPr>
                <m:t>,</m:t>
              </m:r>
              <m:sSub>
                <m:e>
                  <m:r>
                    <m:t>Q</m:t>
                  </m:r>
                </m:e>
                <m:sub>
                  <m:r>
                    <m:t>t</m:t>
                  </m:r>
                </m:sub>
              </m:sSub>
              <m:r>
                <m:rPr>
                  <m:sty m:val="p"/>
                </m:rPr>
                <m:t>,</m:t>
              </m:r>
              <m:sSub>
                <m:e>
                  <m:r>
                    <m:t>E</m:t>
                  </m:r>
                </m:e>
                <m:sub>
                  <m:r>
                    <m:t>t</m:t>
                  </m:r>
                </m:sub>
              </m:sSub>
              <m:r>
                <m:rPr>
                  <m:sty m:val="p"/>
                </m:rPr>
                <m:t>,</m:t>
              </m:r>
              <m:sSubSup>
                <m:e>
                  <m:r>
                    <m:t>G</m:t>
                  </m:r>
                </m:e>
                <m:sub>
                  <m:r>
                    <m:t>t</m:t>
                  </m:r>
                </m:sub>
                <m:sup>
                  <m:r>
                    <m:t>H</m:t>
                  </m:r>
                </m:sup>
              </m:sSubSup>
            </m:e>
          </m:d>
          <m:r>
            <m:rPr>
              <m:sty m:val="p"/>
            </m:rPr>
            <m:t>,</m:t>
          </m:r>
        </m:oMath>
      </m:oMathPara>
    </w:p>
    <w:p>
      <w:pPr>
        <w:pStyle w:val="FirstParagraph"/>
      </w:pPr>
      <w:r>
        <w:t xml:space="preserve">where</w:t>
      </w:r>
      <w:r>
        <w:t xml:space="preserve"> </w:t>
      </w:r>
      <m:oMath>
        <m:sSub>
          <m:e>
            <m:r>
              <m:t>C</m:t>
            </m:r>
          </m:e>
          <m:sub>
            <m:r>
              <m:t>t</m:t>
            </m:r>
          </m:sub>
        </m:sSub>
      </m:oMath>
      <w:r>
        <w:t xml:space="preserve"> </w:t>
      </w:r>
      <w:r>
        <w:t xml:space="preserve">is the candidate pool,</w:t>
      </w:r>
      <w:r>
        <w:t xml:space="preserve"> </w:t>
      </w:r>
      <m:oMath>
        <m:sSub>
          <m:e>
            <m:r>
              <m:t>A</m:t>
            </m:r>
          </m:e>
          <m:sub>
            <m:r>
              <m:t>t</m:t>
            </m:r>
          </m:sub>
        </m:sSub>
      </m:oMath>
      <w:r>
        <w:t xml:space="preserve"> </w:t>
      </w:r>
      <w:r>
        <w:t xml:space="preserve">the active archive,</w:t>
      </w:r>
      <w:r>
        <w:t xml:space="preserve"> </w:t>
      </w:r>
      <m:oMath>
        <m:sSub>
          <m:e>
            <m:r>
              <m:t>D</m:t>
            </m:r>
          </m:e>
          <m:sub>
            <m:r>
              <m:t>t</m:t>
            </m:r>
          </m:sub>
        </m:sSub>
      </m:oMath>
      <w:r>
        <w:t xml:space="preserve"> </w:t>
      </w:r>
      <w:r>
        <w:t xml:space="preserve">the dormant archive,</w:t>
      </w:r>
      <w:r>
        <w:t xml:space="preserve"> </w:t>
      </w:r>
      <m:oMath>
        <m:sSub>
          <m:e>
            <m:r>
              <m:t>Q</m:t>
            </m:r>
          </m:e>
          <m:sub>
            <m:r>
              <m:t>t</m:t>
            </m:r>
          </m:sub>
        </m:sSub>
      </m:oMath>
      <w:r>
        <w:t xml:space="preserve"> </w:t>
      </w:r>
      <w:r>
        <w:t xml:space="preserve">the speculative quarantine,</w:t>
      </w:r>
      <w:r>
        <w:t xml:space="preserve"> </w:t>
      </w:r>
      <m:oMath>
        <m:sSub>
          <m:e>
            <m:r>
              <m:t>E</m:t>
            </m:r>
          </m:e>
          <m:sub>
            <m:r>
              <m:t>t</m:t>
            </m:r>
          </m:sub>
        </m:sSub>
      </m:oMath>
      <w:r>
        <w:t xml:space="preserve"> </w:t>
      </w:r>
      <w:r>
        <w:t xml:space="preserve">the equivalence/compression index, and</w:t>
      </w:r>
      <w:r>
        <w:t xml:space="preserve"> </w:t>
      </w:r>
      <m:oMath>
        <m:sSubSup>
          <m:e>
            <m:r>
              <m:t>G</m:t>
            </m:r>
          </m:e>
          <m:sub>
            <m:r>
              <m:t>t</m:t>
            </m:r>
          </m:sub>
          <m:sup>
            <m:r>
              <m:t>H</m:t>
            </m:r>
          </m:sup>
        </m:sSubSup>
      </m:oMath>
      <w:r>
        <w:t xml:space="preserve"> </w:t>
      </w:r>
      <w:r>
        <w:t xml:space="preserve">the provenance graph.</w:t>
      </w:r>
    </w:p>
    <w:p>
      <w:pPr>
        <w:pStyle w:val="CaptionedFigure"/>
      </w:pPr>
      <w:r>
        <w:drawing>
          <wp:inline>
            <wp:extent cx="5465064" cy="1338324"/>
            <wp:effectExtent b="0" l="0" r="0" t="0"/>
            <wp:docPr descr="Lifecycle of a generated hypothesis. Epistemic rejection is not an archive transition owned by DHD." title="" id="44" name="Picture"/>
            <a:graphic>
              <a:graphicData uri="http://schemas.openxmlformats.org/drawingml/2006/picture">
                <pic:pic>
                  <pic:nvPicPr>
                    <pic:cNvPr descr="figures/lifecycle.png" id="45" name="Picture"/>
                    <pic:cNvPicPr>
                      <a:picLocks noChangeArrowheads="1" noChangeAspect="1"/>
                    </pic:cNvPicPr>
                  </pic:nvPicPr>
                  <pic:blipFill>
                    <a:blip r:embed="rId43"/>
                    <a:stretch>
                      <a:fillRect/>
                    </a:stretch>
                  </pic:blipFill>
                  <pic:spPr bwMode="auto">
                    <a:xfrm>
                      <a:off x="0" y="0"/>
                      <a:ext cx="5465064" cy="1338324"/>
                    </a:xfrm>
                    <a:prstGeom prst="rect">
                      <a:avLst/>
                    </a:prstGeom>
                    <a:noFill/>
                    <a:ln w="9525">
                      <a:noFill/>
                      <a:headEnd/>
                      <a:tailEnd/>
                    </a:ln>
                  </pic:spPr>
                </pic:pic>
              </a:graphicData>
            </a:graphic>
          </wp:inline>
        </w:drawing>
      </w:r>
    </w:p>
    <w:p>
      <w:pPr>
        <w:pStyle w:val="ImageCaption"/>
      </w:pPr>
      <w:r>
        <w:t xml:space="preserve">Lifecycle of a generated hypothesis. Epistemic rejection is not an archive transition owned by DHD.</w:t>
      </w:r>
    </w:p>
    <w:bookmarkStart w:id="46" w:name="candidate-generation-and-hard-validity"/>
    <w:p>
      <w:pPr>
        <w:pStyle w:val="Heading2"/>
        <w:keepNext/>
      </w:pPr>
      <w:r>
        <w:t xml:space="preserve">7.1 Candidate generation and hard validity</w:t>
      </w:r>
    </w:p>
    <w:p>
      <w:pPr>
        <w:pStyle w:val="FirstParagraph"/>
      </w:pPr>
      <w:r>
        <w:t xml:space="preserve">From a parent set</w:t>
      </w:r>
      <w:r>
        <w:t xml:space="preserve"> </w:t>
      </w:r>
      <m:oMath>
        <m:sSub>
          <m:e>
            <m:r>
              <m:t>P</m:t>
            </m:r>
          </m:e>
          <m:sub>
            <m:r>
              <m:t>t</m:t>
            </m:r>
          </m:sub>
        </m:sSub>
        <m:r>
          <m:rPr>
            <m:sty m:val="p"/>
          </m:rPr>
          <m:t>⊆</m:t>
        </m:r>
        <m:sSub>
          <m:e>
            <m:r>
              <m:t>A</m:t>
            </m:r>
          </m:e>
          <m:sub>
            <m:r>
              <m:t>t</m:t>
            </m:r>
          </m:sub>
        </m:sSub>
        <m:r>
          <m:rPr>
            <m:sty m:val="p"/>
          </m:rPr>
          <m:t>∪</m:t>
        </m:r>
        <m:sSub>
          <m:e>
            <m:r>
              <m:t>D</m:t>
            </m:r>
          </m:e>
          <m:sub>
            <m:r>
              <m:t>t</m:t>
            </m:r>
          </m:sub>
        </m:sSub>
      </m:oMath>
      <w:r>
        <w:t xml:space="preserve">, DHD draws generators according to</w:t>
      </w:r>
      <w:r>
        <w:t xml:space="preserve"> </w:t>
      </w:r>
      <m:oMath>
        <m:sSubSup>
          <m:e>
            <m:r>
              <m:t>π</m:t>
            </m:r>
          </m:e>
          <m:sub>
            <m:r>
              <m:t>t</m:t>
            </m:r>
          </m:sub>
          <m:sup>
            <m:r>
              <m:t>G</m:t>
            </m:r>
          </m:sup>
        </m:sSubSup>
      </m:oMath>
      <w:r>
        <w:t xml:space="preserve"> </w:t>
      </w:r>
      <w:r>
        <w:t xml:space="preserve">and produces</w:t>
      </w:r>
    </w:p>
    <w:p>
      <w:pPr>
        <w:pStyle w:val="BodyText"/>
      </w:pPr>
      <m:oMathPara>
        <m:oMathParaPr>
          <m:jc m:val="center"/>
        </m:oMathParaPr>
        <m:oMath>
          <m:sSub>
            <m:e>
              <m:r>
                <m:t>C</m:t>
              </m:r>
            </m:e>
            <m:sub>
              <m:r>
                <m:t>t</m:t>
              </m:r>
              <m:r>
                <m:rPr>
                  <m:sty m:val="p"/>
                </m:rPr>
                <m:t>+</m:t>
              </m:r>
              <m:r>
                <m:t>1</m:t>
              </m:r>
            </m:sub>
          </m:sSub>
          <m:r>
            <m:rPr>
              <m:sty m:val="p"/>
            </m:rPr>
            <m:t>=</m:t>
          </m:r>
          <m:limLow>
            <m:e>
              <m:r>
                <m:rPr>
                  <m:sty m:val="p"/>
                </m:rPr>
                <m:t>⋃</m:t>
              </m:r>
            </m:e>
            <m:lim>
              <m:r>
                <m:t>h</m:t>
              </m:r>
              <m:r>
                <m:rPr>
                  <m:sty m:val="p"/>
                </m:rPr>
                <m:t>∈</m:t>
              </m:r>
              <m:sSub>
                <m:e>
                  <m:r>
                    <m:t>P</m:t>
                  </m:r>
                </m:e>
                <m:sub>
                  <m:r>
                    <m:t>t</m:t>
                  </m:r>
                </m:sub>
              </m:sSub>
            </m:lim>
          </m:limLow>
          <m:limLow>
            <m:e>
              <m:limUpp>
                <m:e>
                  <m:r>
                    <m:rPr>
                      <m:sty m:val="p"/>
                    </m:rPr>
                    <m:t>⋃</m:t>
                  </m:r>
                </m:e>
                <m:lim>
                  <m:sSub>
                    <m:e>
                      <m:r>
                        <m:t>M</m:t>
                      </m:r>
                    </m:e>
                    <m:sub>
                      <m:r>
                        <m:t>t</m:t>
                      </m:r>
                    </m:sub>
                  </m:sSub>
                  <m:d>
                    <m:dPr>
                      <m:begChr m:val="("/>
                      <m:endChr m:val=")"/>
                      <m:sepChr m:val=""/>
                      <m:grow/>
                    </m:dPr>
                    <m:e>
                      <m:r>
                        <m:t>h</m:t>
                      </m:r>
                    </m:e>
                  </m:d>
                </m:lim>
              </m:limUpp>
            </m:e>
            <m:lim>
              <m:r>
                <m:t>m</m:t>
              </m:r>
              <m:r>
                <m:rPr>
                  <m:sty m:val="p"/>
                </m:rPr>
                <m:t>=</m:t>
              </m:r>
              <m:r>
                <m:t>1</m:t>
              </m:r>
            </m:lim>
          </m:limLow>
          <m:sSub>
            <m:e>
              <m:r>
                <m:t>G</m:t>
              </m:r>
            </m:e>
            <m:sub>
              <m:sSub>
                <m:e>
                  <m:r>
                    <m:t>g</m:t>
                  </m:r>
                </m:e>
                <m:sub>
                  <m:r>
                    <m:t>h</m:t>
                  </m:r>
                  <m:r>
                    <m:rPr>
                      <m:sty m:val="p"/>
                    </m:rPr>
                    <m:t>,</m:t>
                  </m:r>
                  <m:r>
                    <m:t>m</m:t>
                  </m:r>
                </m:sub>
              </m:sSub>
            </m:sub>
          </m:sSub>
          <m:d>
            <m:dPr>
              <m:begChr m:val="("/>
              <m:endChr m:val=")"/>
              <m:sepChr m:val=""/>
              <m:grow/>
            </m:dPr>
            <m:e>
              <m:r>
                <m:t>h</m:t>
              </m:r>
              <m:r>
                <m:rPr>
                  <m:sty m:val="p"/>
                </m:rPr>
                <m:t>;</m:t>
              </m:r>
              <m:sSub>
                <m:e>
                  <m:r>
                    <m:t>E</m:t>
                  </m:r>
                </m:e>
                <m:sub>
                  <m:r>
                    <m:t>t</m:t>
                  </m:r>
                </m:sub>
              </m:sSub>
              <m:r>
                <m:rPr>
                  <m:sty m:val="p"/>
                </m:rPr>
                <m:t>,</m:t>
              </m:r>
              <m:sSubSup>
                <m:e>
                  <m:r>
                    <m:t>u</m:t>
                  </m:r>
                </m:e>
                <m:sub>
                  <m:r>
                    <m:t>t</m:t>
                  </m:r>
                </m:sub>
                <m:sup>
                  <m:r>
                    <m:t>D</m:t>
                  </m:r>
                </m:sup>
              </m:sSubSup>
              <m:r>
                <m:rPr>
                  <m:sty m:val="p"/>
                </m:rPr>
                <m:t>,</m:t>
              </m:r>
              <m:sSub>
                <m:e>
                  <m:r>
                    <m:t>ξ</m:t>
                  </m:r>
                </m:e>
                <m:sub>
                  <m:r>
                    <m:t>h</m:t>
                  </m:r>
                  <m:r>
                    <m:rPr>
                      <m:sty m:val="p"/>
                    </m:rPr>
                    <m:t>,</m:t>
                  </m:r>
                  <m:r>
                    <m:t>m</m:t>
                  </m:r>
                </m:sub>
              </m:sSub>
            </m:e>
          </m:d>
          <m:r>
            <m:rPr>
              <m:sty m:val="p"/>
            </m:rPr>
            <m:t>.</m:t>
          </m:r>
        </m:oMath>
      </m:oMathPara>
    </w:p>
    <w:p>
      <w:pPr>
        <w:pStyle w:val="FirstParagraph"/>
      </w:pPr>
      <w:r>
        <w:t xml:space="preserve">A candidate is active-eligible only if it passes the hard validity predicate</w:t>
      </w:r>
      <w:r>
        <w:t xml:space="preserve"> </w:t>
      </w:r>
      <m:oMath>
        <m:r>
          <m:t>V</m:t>
        </m:r>
        <m:d>
          <m:dPr>
            <m:begChr m:val="("/>
            <m:endChr m:val=")"/>
            <m:sepChr m:val=""/>
            <m:grow/>
          </m:dPr>
          <m:e>
            <m:r>
              <m:t>h</m:t>
            </m:r>
          </m:e>
        </m:d>
        <m:r>
          <m:rPr>
            <m:sty m:val="p"/>
          </m:rPr>
          <m:t>=</m:t>
        </m:r>
        <m:r>
          <m:t>1</m:t>
        </m:r>
      </m:oMath>
      <w:r>
        <w:t xml:space="preserve">.</w:t>
      </w:r>
    </w:p>
    <w:p>
      <w:pPr>
        <w:pStyle w:val="BodyText"/>
      </w:pPr>
      <w:r>
        <w:rPr>
          <w:b/>
          <w:bCs/>
        </w:rPr>
        <w:t xml:space="preserve">Definition 12 (Hard validity).</w:t>
      </w:r>
      <w:r>
        <w:t xml:space="preserve"> </w:t>
      </w:r>
      <w:r>
        <w:t xml:space="preserve">The predicate requires:</w:t>
      </w:r>
    </w:p>
    <w:p>
      <w:pPr>
        <w:pStyle w:val="Compact"/>
        <w:numPr>
          <w:ilvl w:val="0"/>
          <w:numId w:val="1002"/>
        </w:numPr>
      </w:pPr>
      <w:r>
        <w:t xml:space="preserve">syntactic and type validity for the declared family;</w:t>
      </w:r>
    </w:p>
    <w:p>
      <w:pPr>
        <w:pStyle w:val="Compact"/>
        <w:numPr>
          <w:ilvl w:val="0"/>
          <w:numId w:val="1002"/>
        </w:numPr>
      </w:pPr>
      <w:r>
        <w:t xml:space="preserve">numerical executability to a declared tolerance;</w:t>
      </w:r>
    </w:p>
    <w:p>
      <w:pPr>
        <w:pStyle w:val="Compact"/>
        <w:numPr>
          <w:ilvl w:val="0"/>
          <w:numId w:val="1002"/>
        </w:numPr>
      </w:pPr>
      <w:r>
        <w:t xml:space="preserve">internal causal/dynamical consistency appropriate to the family;</w:t>
      </w:r>
    </w:p>
    <w:p>
      <w:pPr>
        <w:pStyle w:val="Compact"/>
        <w:numPr>
          <w:ilvl w:val="0"/>
          <w:numId w:val="1002"/>
        </w:numPr>
      </w:pPr>
      <w:r>
        <w:t xml:space="preserve">at least one non-vacuous observable or interventional consequence;</w:t>
      </w:r>
    </w:p>
    <w:p>
      <w:pPr>
        <w:pStyle w:val="Compact"/>
        <w:numPr>
          <w:ilvl w:val="0"/>
          <w:numId w:val="1002"/>
        </w:numPr>
      </w:pPr>
      <w:r>
        <w:t xml:space="preserve">complete provenance sufficient for reproduction;</w:t>
      </w:r>
    </w:p>
    <w:p>
      <w:pPr>
        <w:pStyle w:val="Compact"/>
        <w:numPr>
          <w:ilvl w:val="0"/>
          <w:numId w:val="1002"/>
        </w:numPr>
      </w:pPr>
      <w:r>
        <w:t xml:space="preserve">resource feasibility for the current evaluation tier.</w:t>
      </w:r>
    </w:p>
    <w:p>
      <w:pPr>
        <w:pStyle w:val="FirstParagraph"/>
      </w:pPr>
      <w:r>
        <w:t xml:space="preserve">Low current prior probability, poor current fit, unusual parameter values, or unconventional structure are not hard-invalidating conditions. Those quantities belong to later adjudication or are recorded as metadata.</w:t>
      </w:r>
    </w:p>
    <w:bookmarkEnd w:id="46"/>
    <w:bookmarkStart w:id="47" w:name="testability-classes"/>
    <w:p>
      <w:pPr>
        <w:pStyle w:val="Heading2"/>
        <w:keepNext/>
      </w:pPr>
      <w:r>
        <w:t xml:space="preserve">7.2 Testability classes</w:t>
      </w:r>
    </w:p>
    <w:p>
      <w:pPr>
        <w:pStyle w:val="FirstParagraph"/>
      </w:pPr>
      <w:r>
        <w:t xml:space="preserve">Candidates are labeled:</w:t>
      </w:r>
    </w:p>
    <w:p>
      <w:pPr>
        <w:pStyle w:val="Compact"/>
        <w:numPr>
          <w:ilvl w:val="0"/>
          <w:numId w:val="1003"/>
        </w:numPr>
      </w:pPr>
      <w:r>
        <w:rPr>
          <w:b/>
          <w:bCs/>
        </w:rPr>
        <w:t xml:space="preserve">T1:</w:t>
      </w:r>
      <w:r>
        <w:t xml:space="preserve"> </w:t>
      </w:r>
      <w:r>
        <w:t xml:space="preserve">executable and currently testable;</w:t>
      </w:r>
    </w:p>
    <w:p>
      <w:pPr>
        <w:pStyle w:val="Compact"/>
        <w:numPr>
          <w:ilvl w:val="0"/>
          <w:numId w:val="1003"/>
        </w:numPr>
      </w:pPr>
      <w:r>
        <w:rPr>
          <w:b/>
          <w:bCs/>
        </w:rPr>
        <w:t xml:space="preserve">T2:</w:t>
      </w:r>
      <w:r>
        <w:t xml:space="preserve"> </w:t>
      </w:r>
      <w:r>
        <w:t xml:space="preserve">conditionally or eventually testable;</w:t>
      </w:r>
    </w:p>
    <w:p>
      <w:pPr>
        <w:pStyle w:val="Compact"/>
        <w:numPr>
          <w:ilvl w:val="0"/>
          <w:numId w:val="1003"/>
        </w:numPr>
      </w:pPr>
      <w:r>
        <w:rPr>
          <w:b/>
          <w:bCs/>
        </w:rPr>
        <w:t xml:space="preserve">T3:</w:t>
      </w:r>
      <w:r>
        <w:t xml:space="preserve"> </w:t>
      </w:r>
      <w:r>
        <w:t xml:space="preserve">currently underidentified but with declared discriminating evidence;</w:t>
      </w:r>
    </w:p>
    <w:p>
      <w:pPr>
        <w:pStyle w:val="Compact"/>
        <w:numPr>
          <w:ilvl w:val="0"/>
          <w:numId w:val="1003"/>
        </w:numPr>
      </w:pPr>
      <w:r>
        <w:rPr>
          <w:b/>
          <w:bCs/>
        </w:rPr>
        <w:t xml:space="preserve">T4:</w:t>
      </w:r>
      <w:r>
        <w:t xml:space="preserve"> </w:t>
      </w:r>
      <w:r>
        <w:t xml:space="preserve">speculative/unadjudicable;</w:t>
      </w:r>
    </w:p>
    <w:p>
      <w:pPr>
        <w:pStyle w:val="Compact"/>
        <w:numPr>
          <w:ilvl w:val="0"/>
          <w:numId w:val="1003"/>
        </w:numPr>
      </w:pPr>
      <w:r>
        <w:rPr>
          <w:b/>
          <w:bCs/>
        </w:rPr>
        <w:t xml:space="preserve">T5:</w:t>
      </w:r>
      <w:r>
        <w:t xml:space="preserve"> </w:t>
      </w:r>
      <w:r>
        <w:t xml:space="preserve">invalid.</w:t>
      </w:r>
    </w:p>
    <w:p>
      <w:pPr>
        <w:pStyle w:val="FirstParagraph"/>
      </w:pPr>
      <w:r>
        <w:t xml:space="preserve">Only T1-T3 count toward active archive metrics. T4 can be retained in</w:t>
      </w:r>
      <w:r>
        <w:t xml:space="preserve"> </w:t>
      </w:r>
      <m:oMath>
        <m:sSub>
          <m:e>
            <m:r>
              <m:t>Q</m:t>
            </m:r>
          </m:e>
          <m:sub>
            <m:r>
              <m:t>t</m:t>
            </m:r>
          </m:sub>
        </m:sSub>
      </m:oMath>
      <w:r>
        <w:t xml:space="preserve"> </w:t>
      </w:r>
      <w:r>
        <w:t xml:space="preserve">with provenance but does not consume the active archive budget. T5 is rejected.</w:t>
      </w:r>
    </w:p>
    <w:bookmarkEnd w:id="47"/>
    <w:bookmarkStart w:id="48" w:name="behavior-space-novelty-and-coverage"/>
    <w:p>
      <w:pPr>
        <w:pStyle w:val="Heading2"/>
        <w:keepNext/>
      </w:pPr>
      <w:r>
        <w:t xml:space="preserve">7.3 Behavior-space novelty and coverage</w:t>
      </w:r>
    </w:p>
    <w:p>
      <w:pPr>
        <w:pStyle w:val="FirstParagraph"/>
      </w:pPr>
      <w:r>
        <w:t xml:space="preserve">A universal notion of</w:t>
      </w:r>
      <w:r>
        <w:t xml:space="preserve"> </w:t>
      </w:r>
      <w:r>
        <w:t xml:space="preserve">“</w:t>
      </w:r>
      <w:r>
        <w:t xml:space="preserve">coverage of all hypotheses</w:t>
      </w:r>
      <w:r>
        <w:t xml:space="preserve">”</w:t>
      </w:r>
      <w:r>
        <w:t xml:space="preserve"> </w:t>
      </w:r>
      <w:r>
        <w:t xml:space="preserve">is undefined because there is no canonical probability measure on all valid models. DHD therefore declares a behavior descriptor map</w:t>
      </w:r>
    </w:p>
    <w:p>
      <w:pPr>
        <w:pStyle w:val="BodyText"/>
      </w:pPr>
      <m:oMathPara>
        <m:oMathParaPr>
          <m:jc m:val="center"/>
        </m:oMathParaPr>
        <m:oMath>
          <m:sSub>
            <m:e>
              <m:r>
                <m:t>β</m:t>
              </m:r>
            </m:e>
            <m:sub>
              <m:r>
                <m:t>t</m:t>
              </m:r>
            </m:sub>
          </m:sSub>
          <m:r>
            <m:rPr>
              <m:sty m:val="p"/>
            </m:rPr>
            <m:t>:</m:t>
          </m:r>
          <m:r>
            <m:rPr>
              <m:sty m:val="p"/>
              <m:scr m:val="script"/>
            </m:rPr>
            <m:t>H</m:t>
          </m:r>
          <m:r>
            <m:rPr>
              <m:sty m:val="p"/>
            </m:rPr>
            <m:t>→</m:t>
          </m:r>
          <m:sSub>
            <m:e>
              <m:r>
                <m:rPr>
                  <m:sty m:val="p"/>
                  <m:scr m:val="script"/>
                </m:rPr>
                <m:t>B</m:t>
              </m:r>
            </m:e>
            <m:sub>
              <m:r>
                <m:t>t</m:t>
              </m:r>
            </m:sub>
          </m:sSub>
          <m:r>
            <m:rPr>
              <m:sty m:val="p"/>
            </m:rPr>
            <m:t>,</m:t>
          </m:r>
        </m:oMath>
      </m:oMathPara>
    </w:p>
    <w:p>
      <w:pPr>
        <w:pStyle w:val="FirstParagraph"/>
      </w:pPr>
      <w:r>
        <w:t xml:space="preserve">where</w:t>
      </w:r>
      <w:r>
        <w:t xml:space="preserve"> </w:t>
      </w:r>
      <m:oMath>
        <m:d>
          <m:dPr>
            <m:begChr m:val="("/>
            <m:endChr m:val=")"/>
            <m:sepChr m:val=""/>
            <m:grow/>
          </m:dPr>
          <m:e>
            <m:sSub>
              <m:e>
                <m:r>
                  <m:rPr>
                    <m:sty m:val="p"/>
                    <m:scr m:val="script"/>
                  </m:rPr>
                  <m:t>B</m:t>
                </m:r>
              </m:e>
              <m:sub>
                <m:r>
                  <m:t>t</m:t>
                </m:r>
              </m:sub>
            </m:sSub>
            <m:r>
              <m:rPr>
                <m:sty m:val="p"/>
              </m:rPr>
              <m:t>,</m:t>
            </m:r>
            <m:sSub>
              <m:e>
                <m:r>
                  <m:t>d</m:t>
                </m:r>
              </m:e>
              <m:sub>
                <m:r>
                  <m:t>B</m:t>
                </m:r>
              </m:sub>
            </m:sSub>
          </m:e>
        </m:d>
      </m:oMath>
      <w:r>
        <w:t xml:space="preserve"> </w:t>
      </w:r>
      <w:r>
        <w:t xml:space="preserve">is a task-specific metric descriptor space constructed from predictive or interventional consequences over a fixed probe set.</w:t>
      </w:r>
    </w:p>
    <w:p>
      <w:pPr>
        <w:pStyle w:val="BodyText"/>
      </w:pPr>
      <w:r>
        <w:rPr>
          <w:b/>
          <w:bCs/>
        </w:rPr>
        <w:t xml:space="preserve">Definition 13 (Behavioral novelty).</w:t>
      </w:r>
      <w:r>
        <w:t xml:space="preserve"> </w:t>
      </w:r>
      <w:r>
        <w:t xml:space="preserve">Relative to archive</w:t>
      </w:r>
      <w:r>
        <w:t xml:space="preserve"> </w:t>
      </w:r>
      <m:oMath>
        <m:r>
          <m:t>A</m:t>
        </m:r>
      </m:oMath>
      <w:r>
        <w:t xml:space="preserve">,</w:t>
      </w:r>
    </w:p>
    <w:p>
      <w:pPr>
        <w:pStyle w:val="BodyText"/>
      </w:pPr>
      <m:oMathPara>
        <m:oMathParaPr>
          <m:jc m:val="center"/>
        </m:oMathParaPr>
        <m:oMath>
          <m:r>
            <m:t>ν</m:t>
          </m:r>
          <m:d>
            <m:dPr>
              <m:begChr m:val="("/>
              <m:endChr m:val=")"/>
              <m:sepChr m:val=""/>
              <m:grow/>
            </m:dPr>
            <m:e>
              <m:r>
                <m:t>h</m:t>
              </m:r>
              <m:r>
                <m:rPr>
                  <m:sty m:val="p"/>
                </m:rPr>
                <m:t>∣</m:t>
              </m:r>
              <m:r>
                <m:t>A</m:t>
              </m:r>
            </m:e>
          </m:d>
          <m:r>
            <m:rPr>
              <m:sty m:val="p"/>
            </m:rPr>
            <m:t>=</m:t>
          </m:r>
          <m:d>
            <m:dPr>
              <m:begChr m:val="{"/>
              <m:endChr m:val=""/>
              <m:sepChr m:val=""/>
              <m:grow/>
            </m:dPr>
            <m:e>
              <m:m>
                <m:mPr>
                  <m:baseJc m:val="center"/>
                  <m:plcHide m:val="on"/>
                  <m:mcs>
                    <m:mc>
                      <m:mcPr>
                        <m:mcJc m:val="left"/>
                        <m:count m:val="1"/>
                      </m:mcPr>
                    </m:mc>
                    <m:mc>
                      <m:mcPr>
                        <m:mcJc m:val="left"/>
                        <m:count m:val="1"/>
                      </m:mcPr>
                    </m:mc>
                  </m:mcs>
                </m:mPr>
                <m:mr>
                  <m:e>
                    <m:limLow>
                      <m:e>
                        <m:r>
                          <m:rPr>
                            <m:sty m:val="p"/>
                          </m:rPr>
                          <m:t>min</m:t>
                        </m:r>
                      </m:e>
                      <m:lim>
                        <m:r>
                          <m:t>a</m:t>
                        </m:r>
                        <m:r>
                          <m:rPr>
                            <m:sty m:val="p"/>
                          </m:rPr>
                          <m:t>∈</m:t>
                        </m:r>
                        <m:r>
                          <m:t>A</m:t>
                        </m:r>
                      </m:lim>
                    </m:limLow>
                    <m:sSub>
                      <m:e>
                        <m:r>
                          <m:t>d</m:t>
                        </m:r>
                      </m:e>
                      <m:sub>
                        <m:r>
                          <m:t>B</m:t>
                        </m:r>
                      </m:sub>
                    </m:sSub>
                    <m:d>
                      <m:dPr>
                        <m:begChr m:val="("/>
                        <m:endChr m:val=")"/>
                        <m:sepChr m:val=""/>
                        <m:grow/>
                      </m:dPr>
                      <m:e>
                        <m:r>
                          <m:t>β</m:t>
                        </m:r>
                        <m:d>
                          <m:dPr>
                            <m:begChr m:val="("/>
                            <m:endChr m:val=")"/>
                            <m:sepChr m:val=""/>
                            <m:grow/>
                          </m:dPr>
                          <m:e>
                            <m:r>
                              <m:t>h</m:t>
                            </m:r>
                          </m:e>
                        </m:d>
                        <m:r>
                          <m:rPr>
                            <m:sty m:val="p"/>
                          </m:rPr>
                          <m:t>,</m:t>
                        </m:r>
                        <m:r>
                          <m:t>β</m:t>
                        </m:r>
                        <m:d>
                          <m:dPr>
                            <m:begChr m:val="("/>
                            <m:endChr m:val=")"/>
                            <m:sepChr m:val=""/>
                            <m:grow/>
                          </m:dPr>
                          <m:e>
                            <m:r>
                              <m:t>a</m:t>
                            </m:r>
                          </m:e>
                        </m:d>
                      </m:e>
                    </m:d>
                    <m:r>
                      <m:rPr>
                        <m:sty m:val="p"/>
                      </m:rPr>
                      <m:t>,</m:t>
                    </m:r>
                  </m:e>
                  <m:e>
                    <m:r>
                      <m:t>A</m:t>
                    </m:r>
                    <m:r>
                      <m:rPr>
                        <m:sty m:val="p"/>
                      </m:rPr>
                      <m:t>≠</m:t>
                    </m:r>
                    <m:r>
                      <m:rPr>
                        <m:sty m:val="p"/>
                      </m:rPr>
                      <m:t>⌀</m:t>
                    </m:r>
                    <m:r>
                      <m:rPr>
                        <m:sty m:val="p"/>
                      </m:rPr>
                      <m:t>,</m:t>
                    </m:r>
                  </m:e>
                </m:mr>
                <m:mr>
                  <m:e>
                    <m:r>
                      <m:rPr>
                        <m:sty m:val="p"/>
                      </m:rPr>
                      <m:t>+</m:t>
                    </m:r>
                    <m:r>
                      <m:rPr>
                        <m:sty m:val="p"/>
                      </m:rPr>
                      <m:t>∞</m:t>
                    </m:r>
                    <m:r>
                      <m:rPr>
                        <m:sty m:val="p"/>
                      </m:rPr>
                      <m:t>,</m:t>
                    </m:r>
                  </m:e>
                  <m:e>
                    <m:r>
                      <m:t>A</m:t>
                    </m:r>
                    <m:r>
                      <m:rPr>
                        <m:sty m:val="p"/>
                      </m:rPr>
                      <m:t>=</m:t>
                    </m:r>
                    <m:r>
                      <m:rPr>
                        <m:sty m:val="p"/>
                      </m:rPr>
                      <m:t>⌀</m:t>
                    </m:r>
                    <m:r>
                      <m:rPr>
                        <m:sty m:val="p"/>
                      </m:rPr>
                      <m:t>.</m:t>
                    </m:r>
                  </m:e>
                </m:mr>
              </m:m>
            </m:e>
          </m:d>
        </m:oMath>
      </m:oMathPara>
    </w:p>
    <w:p>
      <w:pPr>
        <w:pStyle w:val="FirstParagraph"/>
      </w:pPr>
      <w:r>
        <w:rPr>
          <w:b/>
          <w:bCs/>
        </w:rPr>
        <w:t xml:space="preserve">Definition 14 (Coverage under a declared measure).</w:t>
      </w:r>
      <w:r>
        <w:t xml:space="preserve"> </w:t>
      </w:r>
      <w:r>
        <w:t xml:space="preserve">For reference region</w:t>
      </w:r>
      <w:r>
        <w:t xml:space="preserve"> </w:t>
      </w:r>
      <m:oMath>
        <m:sSup>
          <m:e>
            <m:r>
              <m:rPr>
                <m:sty m:val="p"/>
                <m:scr m:val="script"/>
              </m:rPr>
              <m:t>B</m:t>
            </m:r>
          </m:e>
          <m:sup>
            <m:r>
              <m:rPr>
                <m:sty m:val="p"/>
              </m:rPr>
              <m:t>r</m:t>
            </m:r>
            <m:r>
              <m:rPr>
                <m:sty m:val="p"/>
              </m:rPr>
              <m:t>e</m:t>
            </m:r>
            <m:r>
              <m:rPr>
                <m:sty m:val="p"/>
              </m:rPr>
              <m:t>f</m:t>
            </m:r>
          </m:sup>
        </m:sSup>
      </m:oMath>
      <w:r>
        <w:t xml:space="preserve"> </w:t>
      </w:r>
      <w:r>
        <w:t xml:space="preserve">with finite measure</w:t>
      </w:r>
      <w:r>
        <w:t xml:space="preserve"> </w:t>
      </w:r>
      <m:oMath>
        <m:sSub>
          <m:e>
            <m:r>
              <m:t>μ</m:t>
            </m:r>
          </m:e>
          <m:sub>
            <m:r>
              <m:t>B</m:t>
            </m:r>
          </m:sub>
        </m:sSub>
      </m:oMath>
      <w:r>
        <w:t xml:space="preserve">,</w:t>
      </w:r>
    </w:p>
    <w:p>
      <w:pPr>
        <w:pStyle w:val="BodyText"/>
      </w:pPr>
      <m:oMathPara>
        <m:oMathParaPr>
          <m:jc m:val="center"/>
        </m:oMathParaPr>
        <m:oMath>
          <m:sSub>
            <m:e>
              <m:r>
                <m:rPr>
                  <m:sty m:val="p"/>
                </m:rPr>
                <m:t>Cov</m:t>
              </m:r>
            </m:e>
            <m:sub>
              <m:r>
                <m:t>ϵ</m:t>
              </m:r>
            </m:sub>
          </m:sSub>
          <m:d>
            <m:dPr>
              <m:begChr m:val="("/>
              <m:endChr m:val=")"/>
              <m:sepChr m:val=""/>
              <m:grow/>
            </m:dPr>
            <m:e>
              <m:r>
                <m:t>A</m:t>
              </m:r>
            </m:e>
          </m:d>
          <m:r>
            <m:rPr>
              <m:sty m:val="p"/>
            </m:rPr>
            <m:t>=</m:t>
          </m:r>
          <m:f>
            <m:fPr>
              <m:type m:val="bar"/>
            </m:fPr>
            <m:num>
              <m:sSub>
                <m:e>
                  <m:r>
                    <m:t>μ</m:t>
                  </m:r>
                </m:e>
                <m:sub>
                  <m:r>
                    <m:t>B</m:t>
                  </m:r>
                </m:sub>
              </m:sSub>
              <m:r>
                <m:t>​</m:t>
              </m:r>
              <m:d>
                <m:dPr>
                  <m:begChr m:val="("/>
                  <m:endChr m:val=")"/>
                  <m:sepChr m:val=""/>
                  <m:grow/>
                </m:dPr>
                <m:e>
                  <m:limLow>
                    <m:e>
                      <m:r>
                        <m:rPr>
                          <m:sty m:val="p"/>
                        </m:rPr>
                        <m:t>⋃</m:t>
                      </m:r>
                    </m:e>
                    <m:lim>
                      <m:r>
                        <m:t>h</m:t>
                      </m:r>
                      <m:r>
                        <m:rPr>
                          <m:sty m:val="p"/>
                        </m:rPr>
                        <m:t>∈</m:t>
                      </m:r>
                      <m:r>
                        <m:t>A</m:t>
                      </m:r>
                    </m:lim>
                  </m:limLow>
                  <m:sSub>
                    <m:e>
                      <m:r>
                        <m:t>B</m:t>
                      </m:r>
                    </m:e>
                    <m:sub>
                      <m:r>
                        <m:t>ϵ</m:t>
                      </m:r>
                    </m:sub>
                  </m:sSub>
                  <m:d>
                    <m:dPr>
                      <m:begChr m:val="("/>
                      <m:endChr m:val=")"/>
                      <m:sepChr m:val=""/>
                      <m:grow/>
                    </m:dPr>
                    <m:e>
                      <m:r>
                        <m:t>β</m:t>
                      </m:r>
                      <m:d>
                        <m:dPr>
                          <m:begChr m:val="("/>
                          <m:endChr m:val=")"/>
                          <m:sepChr m:val=""/>
                          <m:grow/>
                        </m:dPr>
                        <m:e>
                          <m:r>
                            <m:t>h</m:t>
                          </m:r>
                        </m:e>
                      </m:d>
                    </m:e>
                  </m:d>
                  <m:r>
                    <m:rPr>
                      <m:sty m:val="p"/>
                    </m:rPr>
                    <m:t>∩</m:t>
                  </m:r>
                  <m:sSup>
                    <m:e>
                      <m:r>
                        <m:rPr>
                          <m:sty m:val="p"/>
                          <m:scr m:val="script"/>
                        </m:rPr>
                        <m:t>B</m:t>
                      </m:r>
                    </m:e>
                    <m:sup>
                      <m:r>
                        <m:rPr>
                          <m:sty m:val="p"/>
                        </m:rPr>
                        <m:t>r</m:t>
                      </m:r>
                      <m:r>
                        <m:rPr>
                          <m:sty m:val="p"/>
                        </m:rPr>
                        <m:t>e</m:t>
                      </m:r>
                      <m:r>
                        <m:rPr>
                          <m:sty m:val="p"/>
                        </m:rPr>
                        <m:t>f</m:t>
                      </m:r>
                    </m:sup>
                  </m:sSup>
                </m:e>
              </m:d>
            </m:num>
            <m:den>
              <m:sSub>
                <m:e>
                  <m:r>
                    <m:t>μ</m:t>
                  </m:r>
                </m:e>
                <m:sub>
                  <m:r>
                    <m:t>B</m:t>
                  </m:r>
                </m:sub>
              </m:sSub>
              <m:d>
                <m:dPr>
                  <m:begChr m:val="("/>
                  <m:endChr m:val=")"/>
                  <m:sepChr m:val=""/>
                  <m:grow/>
                </m:dPr>
                <m:e>
                  <m:sSup>
                    <m:e>
                      <m:r>
                        <m:rPr>
                          <m:sty m:val="p"/>
                          <m:scr m:val="script"/>
                        </m:rPr>
                        <m:t>B</m:t>
                      </m:r>
                    </m:e>
                    <m:sup>
                      <m:r>
                        <m:rPr>
                          <m:sty m:val="p"/>
                        </m:rPr>
                        <m:t>r</m:t>
                      </m:r>
                      <m:r>
                        <m:rPr>
                          <m:sty m:val="p"/>
                        </m:rPr>
                        <m:t>e</m:t>
                      </m:r>
                      <m:r>
                        <m:rPr>
                          <m:sty m:val="p"/>
                        </m:rPr>
                        <m:t>f</m:t>
                      </m:r>
                    </m:sup>
                  </m:sSup>
                </m:e>
              </m:d>
            </m:den>
          </m:f>
          <m:r>
            <m:rPr>
              <m:sty m:val="p"/>
            </m:rPr>
            <m:t>.</m:t>
          </m:r>
        </m:oMath>
      </m:oMathPara>
    </w:p>
    <w:p>
      <w:pPr>
        <w:pStyle w:val="FirstParagraph"/>
      </w:pPr>
      <w:r>
        <w:t xml:space="preserve">When no defensible reference measure exists, DHD reports occupied descriptor cells, packing statistics, or nearest-neighbor summaries rather than claiming probability-mass coverage.</w:t>
      </w:r>
    </w:p>
    <w:bookmarkEnd w:id="48"/>
    <w:bookmarkStart w:id="49" w:name="minimal-archive-rule"/>
    <w:p>
      <w:pPr>
        <w:pStyle w:val="Heading2"/>
        <w:keepNext/>
      </w:pPr>
      <w:r>
        <w:t xml:space="preserve">7.4 Minimal archive rule</w:t>
      </w:r>
    </w:p>
    <w:p>
      <w:pPr>
        <w:pStyle w:val="FirstParagraph"/>
      </w:pPr>
      <w:r>
        <w:t xml:space="preserve">Let</w:t>
      </w:r>
      <w:r>
        <w:t xml:space="preserve"> </w:t>
      </w:r>
      <m:oMath>
        <m:sSub>
          <m:e>
            <m:r>
              <m:t>V</m:t>
            </m:r>
          </m:e>
          <m:sub>
            <m:r>
              <m:t>t</m:t>
            </m:r>
            <m:r>
              <m:rPr>
                <m:sty m:val="p"/>
              </m:rPr>
              <m:t>+</m:t>
            </m:r>
            <m:r>
              <m:t>1</m:t>
            </m:r>
          </m:sub>
        </m:sSub>
        <m:r>
          <m:rPr>
            <m:sty m:val="p"/>
          </m:rPr>
          <m:t>=</m:t>
        </m:r>
        <m:r>
          <m:rPr>
            <m:sty m:val="p"/>
          </m:rPr>
          <m:t>{</m:t>
        </m:r>
        <m:r>
          <m:t>h</m:t>
        </m:r>
        <m:r>
          <m:rPr>
            <m:sty m:val="p"/>
          </m:rPr>
          <m:t>∈</m:t>
        </m:r>
        <m:sSub>
          <m:e>
            <m:r>
              <m:t>C</m:t>
            </m:r>
          </m:e>
          <m:sub>
            <m:r>
              <m:t>t</m:t>
            </m:r>
            <m:r>
              <m:rPr>
                <m:sty m:val="p"/>
              </m:rPr>
              <m:t>+</m:t>
            </m:r>
            <m:r>
              <m:t>1</m:t>
            </m:r>
          </m:sub>
        </m:sSub>
        <m:r>
          <m:rPr>
            <m:sty m:val="p"/>
          </m:rPr>
          <m:t>:</m:t>
        </m:r>
        <m:r>
          <m:t>V</m:t>
        </m:r>
        <m:d>
          <m:dPr>
            <m:begChr m:val="("/>
            <m:endChr m:val=")"/>
            <m:sepChr m:val=""/>
            <m:grow/>
          </m:dPr>
          <m:e>
            <m:r>
              <m:t>h</m:t>
            </m:r>
          </m:e>
        </m:d>
        <m:r>
          <m:rPr>
            <m:sty m:val="p"/>
          </m:rPr>
          <m:t>=</m:t>
        </m:r>
        <m:r>
          <m:t>1</m:t>
        </m:r>
        <m:r>
          <m:rPr>
            <m:sty m:val="p"/>
          </m:rPr>
          <m:t>,</m:t>
        </m:r>
        <m:r>
          <m:t> </m:t>
        </m:r>
        <m:r>
          <m:rPr>
            <m:sty m:val="p"/>
          </m:rPr>
          <m:t>c</m:t>
        </m:r>
        <m:r>
          <m:rPr>
            <m:sty m:val="p"/>
          </m:rPr>
          <m:t>l</m:t>
        </m:r>
        <m:r>
          <m:rPr>
            <m:sty m:val="p"/>
          </m:rPr>
          <m:t>a</m:t>
        </m:r>
        <m:r>
          <m:rPr>
            <m:sty m:val="p"/>
          </m:rPr>
          <m:t>s</m:t>
        </m:r>
        <m:r>
          <m:rPr>
            <m:sty m:val="p"/>
          </m:rPr>
          <m:t>s</m:t>
        </m:r>
        <m:d>
          <m:dPr>
            <m:begChr m:val="("/>
            <m:endChr m:val=")"/>
            <m:sepChr m:val=""/>
            <m:grow/>
          </m:dPr>
          <m:e>
            <m:r>
              <m:t>h</m:t>
            </m:r>
          </m:e>
        </m:d>
        <m:r>
          <m:rPr>
            <m:sty m:val="p"/>
          </m:rPr>
          <m:t>∈</m:t>
        </m:r>
        <m:r>
          <m:rPr>
            <m:sty m:val="p"/>
          </m:rPr>
          <m:t>{</m:t>
        </m:r>
        <m:r>
          <m:t>T</m:t>
        </m:r>
        <m:r>
          <m:t>1</m:t>
        </m:r>
        <m:r>
          <m:rPr>
            <m:sty m:val="p"/>
          </m:rPr>
          <m:t>,</m:t>
        </m:r>
        <m:r>
          <m:t>T</m:t>
        </m:r>
        <m:r>
          <m:t>2</m:t>
        </m:r>
        <m:r>
          <m:rPr>
            <m:sty m:val="p"/>
          </m:rPr>
          <m:t>,</m:t>
        </m:r>
        <m:r>
          <m:t>T</m:t>
        </m:r>
        <m:r>
          <m:t>3</m:t>
        </m:r>
        <m:r>
          <m:rPr>
            <m:sty m:val="p"/>
          </m:rPr>
          <m:t>}</m:t>
        </m:r>
        <m:r>
          <m:rPr>
            <m:sty m:val="p"/>
          </m:rPr>
          <m:t>}</m:t>
        </m:r>
      </m:oMath>
      <w:r>
        <w:t xml:space="preserve">. A minimal threshold archive admits</w:t>
      </w:r>
      <w:r>
        <w:t xml:space="preserve"> </w:t>
      </w:r>
      <m:oMath>
        <m:r>
          <m:t>h</m:t>
        </m:r>
      </m:oMath>
      <w:r>
        <w:t xml:space="preserve"> </w:t>
      </w:r>
      <w:r>
        <w:t xml:space="preserve">if it creates an empty behavior region or satisfies</w:t>
      </w:r>
      <w:r>
        <w:t xml:space="preserve"> </w:t>
      </w:r>
      <m:oMath>
        <m:r>
          <m:t>ν</m:t>
        </m:r>
        <m:d>
          <m:dPr>
            <m:begChr m:val="("/>
            <m:endChr m:val=")"/>
            <m:sepChr m:val=""/>
            <m:grow/>
          </m:dPr>
          <m:e>
            <m:r>
              <m:t>h</m:t>
            </m:r>
            <m:r>
              <m:rPr>
                <m:sty m:val="p"/>
              </m:rPr>
              <m:t>∣</m:t>
            </m:r>
            <m:sSub>
              <m:e>
                <m:r>
                  <m:t>A</m:t>
                </m:r>
              </m:e>
              <m:sub>
                <m:r>
                  <m:t>t</m:t>
                </m:r>
              </m:sub>
            </m:sSub>
          </m:e>
        </m:d>
        <m:r>
          <m:rPr>
            <m:sty m:val="p"/>
          </m:rPr>
          <m:t>≥</m:t>
        </m:r>
        <m:sSub>
          <m:e>
            <m:r>
              <m:rPr>
                <m:sty m:val="p"/>
              </m:rPr>
              <m:t>ℓ</m:t>
            </m:r>
          </m:e>
          <m:sub>
            <m:r>
              <m:t>t</m:t>
            </m:r>
          </m:sub>
        </m:sSub>
      </m:oMath>
      <w:r>
        <w:t xml:space="preserve">. If the resulting archive exceeds the budget, a declared budgeted selection function is applied.</w:t>
      </w:r>
    </w:p>
    <w:p>
      <w:pPr>
        <w:pStyle w:val="BodyText"/>
      </w:pPr>
      <w:r>
        <w:t xml:space="preserve">A useful coverage objective is facility location:</w:t>
      </w:r>
    </w:p>
    <w:p>
      <w:pPr>
        <w:pStyle w:val="BodyText"/>
      </w:pPr>
      <m:oMathPara>
        <m:oMathParaPr>
          <m:jc m:val="center"/>
        </m:oMathParaPr>
        <m:oMath>
          <m:r>
            <m:t>F</m:t>
          </m:r>
          <m:d>
            <m:dPr>
              <m:begChr m:val="("/>
              <m:endChr m:val=")"/>
              <m:sepChr m:val=""/>
              <m:grow/>
            </m:dPr>
            <m:e>
              <m:r>
                <m:t>S</m:t>
              </m:r>
            </m:e>
          </m:d>
          <m:r>
            <m:rPr>
              <m:sty m:val="p"/>
            </m:rPr>
            <m:t>=</m:t>
          </m:r>
          <m:nary>
            <m:naryPr>
              <m:chr m:val="∑"/>
              <m:limLoc m:val="undOvr"/>
              <m:subHide m:val="off"/>
              <m:supHide m:val="on"/>
            </m:naryPr>
            <m:sub>
              <m:r>
                <m:t>u</m:t>
              </m:r>
              <m:r>
                <m:rPr>
                  <m:sty m:val="p"/>
                </m:rPr>
                <m:t>∈</m:t>
              </m:r>
              <m:r>
                <m:rPr>
                  <m:sty m:val="p"/>
                  <m:scr m:val="script"/>
                </m:rPr>
                <m:t>U</m:t>
              </m:r>
            </m:sub>
            <m:sup>
              <m:r>
                <m:t>​</m:t>
              </m:r>
            </m:sup>
            <m:e>
              <m:limLow>
                <m:e>
                  <m:r>
                    <m:rPr>
                      <m:sty m:val="p"/>
                    </m:rPr>
                    <m:t>max</m:t>
                  </m:r>
                </m:e>
                <m:lim>
                  <m:r>
                    <m:t>h</m:t>
                  </m:r>
                  <m:r>
                    <m:rPr>
                      <m:sty m:val="p"/>
                    </m:rPr>
                    <m:t>∈</m:t>
                  </m:r>
                  <m:r>
                    <m:t>S</m:t>
                  </m:r>
                </m:lim>
              </m:limLow>
            </m:e>
          </m:nary>
          <m:r>
            <m:t>s</m:t>
          </m:r>
          <m:d>
            <m:dPr>
              <m:begChr m:val="("/>
              <m:endChr m:val=")"/>
              <m:sepChr m:val=""/>
              <m:grow/>
            </m:dPr>
            <m:e>
              <m:r>
                <m:t>u</m:t>
              </m:r>
              <m:r>
                <m:rPr>
                  <m:sty m:val="p"/>
                </m:rPr>
                <m:t>,</m:t>
              </m:r>
              <m:r>
                <m:t>h</m:t>
              </m:r>
            </m:e>
          </m:d>
          <m:r>
            <m:rPr>
              <m:sty m:val="p"/>
            </m:rPr>
            <m:t>,</m:t>
          </m:r>
        </m:oMath>
      </m:oMathPara>
    </w:p>
    <w:p>
      <w:pPr>
        <w:pStyle w:val="FirstParagraph"/>
      </w:pPr>
      <w:r>
        <w:t xml:space="preserve">where</w:t>
      </w:r>
      <w:r>
        <w:t xml:space="preserve"> </w:t>
      </w:r>
      <m:oMath>
        <m:r>
          <m:rPr>
            <m:sty m:val="p"/>
            <m:scr m:val="script"/>
          </m:rPr>
          <m:t>U</m:t>
        </m:r>
      </m:oMath>
      <w:r>
        <w:t xml:space="preserve"> </w:t>
      </w:r>
      <w:r>
        <w:t xml:space="preserve">is a finite set of probe cells/scenarios and</w:t>
      </w:r>
      <w:r>
        <w:t xml:space="preserve"> </w:t>
      </w:r>
      <m:oMath>
        <m:r>
          <m:t>s</m:t>
        </m:r>
      </m:oMath>
      <w:r>
        <w:t xml:space="preserve"> </w:t>
      </w:r>
      <w:r>
        <w:t xml:space="preserve">is a bounded nonnegative coverage similarity.</w:t>
      </w:r>
    </w:p>
    <w:p>
      <w:pPr>
        <w:pStyle w:val="BodyText"/>
      </w:pPr>
      <w:r>
        <w:rPr>
          <w:b/>
          <w:bCs/>
        </w:rPr>
        <w:t xml:space="preserve">Theorem 1 (Classical greedy submodular guarantee).</w:t>
      </w:r>
      <w:r>
        <w:t xml:space="preserve"> </w:t>
      </w:r>
      <w:r>
        <w:t xml:space="preserve">If</w:t>
      </w:r>
      <w:r>
        <w:t xml:space="preserve"> </w:t>
      </w:r>
      <m:oMath>
        <m:r>
          <m:t>F</m:t>
        </m:r>
      </m:oMath>
      <w:r>
        <w:t xml:space="preserve"> </w:t>
      </w:r>
      <w:r>
        <w:t xml:space="preserve">is normalized, monotone, and submodular and selection is constrained by</w:t>
      </w:r>
      <w:r>
        <w:t xml:space="preserve"> </w:t>
      </w:r>
      <m:oMath>
        <m:d>
          <m:dPr>
            <m:begChr m:val="|"/>
            <m:endChr m:val="|"/>
            <m:sepChr m:val=""/>
            <m:grow/>
          </m:dPr>
          <m:e>
            <m:r>
              <m:t>S</m:t>
            </m:r>
          </m:e>
        </m:d>
        <m:r>
          <m:rPr>
            <m:sty m:val="p"/>
          </m:rPr>
          <m:t>≤</m:t>
        </m:r>
        <m:r>
          <m:t>K</m:t>
        </m:r>
      </m:oMath>
      <w:r>
        <w:t xml:space="preserve">, the standard greedy algorithm returns</w:t>
      </w:r>
      <w:r>
        <w:t xml:space="preserve"> </w:t>
      </w:r>
      <m:oMath>
        <m:sSub>
          <m:e>
            <m:r>
              <m:t>S</m:t>
            </m:r>
          </m:e>
          <m:sub>
            <m:r>
              <m:t>g</m:t>
            </m:r>
          </m:sub>
        </m:sSub>
      </m:oMath>
      <w:r>
        <w:t xml:space="preserve"> </w:t>
      </w:r>
      <w:r>
        <w:t xml:space="preserve">satisfying</w:t>
      </w:r>
    </w:p>
    <w:p>
      <w:pPr>
        <w:pStyle w:val="BodyText"/>
      </w:pPr>
      <m:oMathPara>
        <m:oMathParaPr>
          <m:jc m:val="center"/>
        </m:oMathParaPr>
        <m:oMath>
          <m:r>
            <m:t>F</m:t>
          </m:r>
          <m:d>
            <m:dPr>
              <m:begChr m:val="("/>
              <m:endChr m:val=")"/>
              <m:sepChr m:val=""/>
              <m:grow/>
            </m:dPr>
            <m:e>
              <m:sSub>
                <m:e>
                  <m:r>
                    <m:t>S</m:t>
                  </m:r>
                </m:e>
                <m:sub>
                  <m:r>
                    <m:t>g</m:t>
                  </m:r>
                </m:sub>
              </m:sSub>
            </m:e>
          </m:d>
          <m:r>
            <m:rPr>
              <m:sty m:val="p"/>
            </m:rPr>
            <m:t>≥</m:t>
          </m:r>
          <m:d>
            <m:dPr>
              <m:begChr m:val="("/>
              <m:endChr m:val=")"/>
              <m:sepChr m:val=""/>
              <m:grow/>
            </m:dPr>
            <m:e>
              <m:r>
                <m:t>1</m:t>
              </m:r>
              <m:r>
                <m:rPr>
                  <m:sty m:val="p"/>
                </m:rPr>
                <m:t>−</m:t>
              </m:r>
              <m:r>
                <m:t>1</m:t>
              </m:r>
              <m:r>
                <m:rPr>
                  <m:sty m:val="p"/>
                </m:rPr>
                <m:t>/</m:t>
              </m:r>
              <m:r>
                <m:t>e</m:t>
              </m:r>
            </m:e>
          </m:d>
          <m:r>
            <m:t>F</m:t>
          </m:r>
          <m:d>
            <m:dPr>
              <m:begChr m:val="("/>
              <m:endChr m:val=")"/>
              <m:sepChr m:val=""/>
              <m:grow/>
            </m:dPr>
            <m:e>
              <m:sSup>
                <m:e>
                  <m:r>
                    <m:t>S</m:t>
                  </m:r>
                </m:e>
                <m:sup>
                  <m:r>
                    <m:rPr>
                      <m:sty m:val="p"/>
                    </m:rPr>
                    <m:t>*</m:t>
                  </m:r>
                </m:sup>
              </m:sSup>
            </m:e>
          </m:d>
          <m:r>
            <m:rPr>
              <m:sty m:val="p"/>
            </m:rPr>
            <m:t>,</m:t>
          </m:r>
        </m:oMath>
      </m:oMathPara>
    </w:p>
    <w:p>
      <w:pPr>
        <w:pStyle w:val="FirstParagraph"/>
      </w:pPr>
      <w:r>
        <w:t xml:space="preserve">where</w:t>
      </w:r>
      <w:r>
        <w:t xml:space="preserve"> </w:t>
      </w:r>
      <m:oMath>
        <m:sSup>
          <m:e>
            <m:r>
              <m:t>S</m:t>
            </m:r>
          </m:e>
          <m:sup>
            <m:r>
              <m:rPr>
                <m:sty m:val="p"/>
              </m:rPr>
              <m:t>*</m:t>
            </m:r>
          </m:sup>
        </m:sSup>
      </m:oMath>
      <w:r>
        <w:t xml:space="preserve"> </w:t>
      </w:r>
      <w:r>
        <w:t xml:space="preserve">is the optimal cardinality-</w:t>
      </w:r>
      <m:oMath>
        <m:r>
          <m:t>K</m:t>
        </m:r>
      </m:oMath>
      <w:r>
        <w:t xml:space="preserve"> </w:t>
      </w:r>
      <w:r>
        <w:t xml:space="preserve">subset</w:t>
      </w:r>
      <w:r>
        <w:t xml:space="preserve"> </w:t>
      </w:r>
      <w:r>
        <w:t xml:space="preserve">[10]</w:t>
      </w:r>
      <w:r>
        <w:t xml:space="preserve">.</w:t>
      </w:r>
    </w:p>
    <w:p>
      <w:pPr>
        <w:pStyle w:val="BodyText"/>
      </w:pPr>
      <w:r>
        <w:t xml:space="preserve">This theorem applies only when the selected archive objective actually satisfies those conditions. It does not imply that DHD’s entire multi-view population problem is submodular.</w:t>
      </w:r>
    </w:p>
    <w:bookmarkEnd w:id="49"/>
    <w:bookmarkStart w:id="50" w:name="packing-bound"/>
    <w:p>
      <w:pPr>
        <w:pStyle w:val="Heading2"/>
        <w:keepNext/>
      </w:pPr>
      <w:r>
        <w:t xml:space="preserve">7.5 Packing bound</w:t>
      </w:r>
    </w:p>
    <w:p>
      <w:pPr>
        <w:pStyle w:val="FirstParagraph"/>
      </w:pPr>
      <w:r>
        <w:rPr>
          <w:b/>
          <w:bCs/>
        </w:rPr>
        <w:t xml:space="preserve">Proposition 2 (Archive cardinality under</w:t>
      </w:r>
      <w:r>
        <w:rPr>
          <w:b/>
          <w:bCs/>
        </w:rPr>
        <w:t xml:space="preserve"> </w:t>
      </w:r>
      <m:oMath>
        <m:r>
          <m:t>ϵ</m:t>
        </m:r>
      </m:oMath>
      <w:r>
        <w:rPr>
          <w:b/>
          <w:bCs/>
        </w:rPr>
        <w:t xml:space="preserve">-separation).</w:t>
      </w:r>
      <w:r>
        <w:t xml:space="preserve"> </w:t>
      </w:r>
      <w:r>
        <w:t xml:space="preserve">Let</w:t>
      </w:r>
      <w:r>
        <w:t xml:space="preserve"> </w:t>
      </w:r>
      <m:oMath>
        <m:r>
          <m:t>β</m:t>
        </m:r>
        <m:d>
          <m:dPr>
            <m:begChr m:val="("/>
            <m:endChr m:val=")"/>
            <m:sepChr m:val=""/>
            <m:grow/>
          </m:dPr>
          <m:e>
            <m:sSub>
              <m:e>
                <m:r>
                  <m:t>A</m:t>
                </m:r>
              </m:e>
              <m:sub>
                <m:r>
                  <m:t>t</m:t>
                </m:r>
              </m:sub>
            </m:sSub>
          </m:e>
        </m:d>
        <m:r>
          <m:rPr>
            <m:sty m:val="p"/>
          </m:rPr>
          <m:t>⊂</m:t>
        </m:r>
        <m:r>
          <m:rPr>
            <m:sty m:val="p"/>
            <m:scr m:val="script"/>
          </m:rPr>
          <m:t>B</m:t>
        </m:r>
      </m:oMath>
      <w:r>
        <w:t xml:space="preserve"> </w:t>
      </w:r>
      <w:r>
        <w:t xml:space="preserve">be</w:t>
      </w:r>
      <w:r>
        <w:t xml:space="preserve"> </w:t>
      </w:r>
      <m:oMath>
        <m:r>
          <m:t>ϵ</m:t>
        </m:r>
      </m:oMath>
      <w:r>
        <w:t xml:space="preserve">-separated and let</w:t>
      </w:r>
      <w:r>
        <w:t xml:space="preserve"> </w:t>
      </w:r>
      <m:oMath>
        <m:sSup>
          <m:e>
            <m:r>
              <m:rPr>
                <m:sty m:val="p"/>
                <m:scr m:val="script"/>
              </m:rPr>
              <m:t>B</m:t>
            </m:r>
          </m:e>
          <m:sup>
            <m:r>
              <m:rPr>
                <m:sty m:val="p"/>
              </m:rPr>
              <m:t>r</m:t>
            </m:r>
            <m:r>
              <m:rPr>
                <m:sty m:val="p"/>
              </m:rPr>
              <m:t>e</m:t>
            </m:r>
            <m:r>
              <m:rPr>
                <m:sty m:val="p"/>
              </m:rPr>
              <m:t>a</m:t>
            </m:r>
            <m:r>
              <m:rPr>
                <m:sty m:val="p"/>
              </m:rPr>
              <m:t>c</m:t>
            </m:r>
            <m:r>
              <m:rPr>
                <m:sty m:val="p"/>
              </m:rPr>
              <m:t>h</m:t>
            </m:r>
          </m:sup>
        </m:sSup>
      </m:oMath>
      <w:r>
        <w:t xml:space="preserve"> </w:t>
      </w:r>
      <w:r>
        <w:t xml:space="preserve">be totally bounded. Then</w:t>
      </w:r>
    </w:p>
    <w:p>
      <w:pPr>
        <w:pStyle w:val="BodyText"/>
      </w:pPr>
      <m:oMathPara>
        <m:oMathParaPr>
          <m:jc m:val="center"/>
        </m:oMathParaPr>
        <m:oMath>
          <m:d>
            <m:dPr>
              <m:begChr m:val="|"/>
              <m:endChr m:val="|"/>
              <m:sepChr m:val=""/>
              <m:grow/>
            </m:dPr>
            <m:e>
              <m:sSub>
                <m:e>
                  <m:r>
                    <m:t>A</m:t>
                  </m:r>
                </m:e>
                <m:sub>
                  <m:r>
                    <m:t>t</m:t>
                  </m:r>
                </m:sub>
              </m:sSub>
            </m:e>
          </m:d>
          <m:r>
            <m:rPr>
              <m:sty m:val="p"/>
            </m:rPr>
            <m:t>≤</m:t>
          </m:r>
          <m:r>
            <m:t>M</m:t>
          </m:r>
          <m:d>
            <m:dPr>
              <m:begChr m:val="("/>
              <m:endChr m:val=")"/>
              <m:sepChr m:val=""/>
              <m:grow/>
            </m:dPr>
            <m:e>
              <m:r>
                <m:t>ϵ</m:t>
              </m:r>
              <m:r>
                <m:rPr>
                  <m:sty m:val="p"/>
                </m:rPr>
                <m:t>;</m:t>
              </m:r>
              <m:sSup>
                <m:e>
                  <m:r>
                    <m:rPr>
                      <m:sty m:val="p"/>
                      <m:scr m:val="script"/>
                    </m:rPr>
                    <m:t>B</m:t>
                  </m:r>
                </m:e>
                <m:sup>
                  <m:r>
                    <m:rPr>
                      <m:sty m:val="p"/>
                    </m:rPr>
                    <m:t>r</m:t>
                  </m:r>
                  <m:r>
                    <m:rPr>
                      <m:sty m:val="p"/>
                    </m:rPr>
                    <m:t>e</m:t>
                  </m:r>
                  <m:r>
                    <m:rPr>
                      <m:sty m:val="p"/>
                    </m:rPr>
                    <m:t>a</m:t>
                  </m:r>
                  <m:r>
                    <m:rPr>
                      <m:sty m:val="p"/>
                    </m:rPr>
                    <m:t>c</m:t>
                  </m:r>
                  <m:r>
                    <m:rPr>
                      <m:sty m:val="p"/>
                    </m:rPr>
                    <m:t>h</m:t>
                  </m:r>
                </m:sup>
              </m:sSup>
            </m:e>
          </m:d>
          <m:r>
            <m:rPr>
              <m:sty m:val="p"/>
            </m:rPr>
            <m:t>,</m:t>
          </m:r>
        </m:oMath>
      </m:oMathPara>
    </w:p>
    <w:p>
      <w:pPr>
        <w:pStyle w:val="FirstParagraph"/>
      </w:pPr>
      <w:r>
        <w:t xml:space="preserve">where</w:t>
      </w:r>
      <w:r>
        <w:t xml:space="preserve"> </w:t>
      </w:r>
      <m:oMath>
        <m:r>
          <m:t>M</m:t>
        </m:r>
        <m:d>
          <m:dPr>
            <m:begChr m:val="("/>
            <m:endChr m:val=")"/>
            <m:sepChr m:val=""/>
            <m:grow/>
          </m:dPr>
          <m:e>
            <m:r>
              <m:t>ϵ</m:t>
            </m:r>
            <m:r>
              <m:rPr>
                <m:sty m:val="p"/>
              </m:rPr>
              <m:t>;</m:t>
            </m:r>
            <m:sSup>
              <m:e>
                <m:r>
                  <m:rPr>
                    <m:sty m:val="p"/>
                    <m:scr m:val="script"/>
                  </m:rPr>
                  <m:t>B</m:t>
                </m:r>
              </m:e>
              <m:sup>
                <m:r>
                  <m:rPr>
                    <m:sty m:val="p"/>
                  </m:rPr>
                  <m:t>r</m:t>
                </m:r>
                <m:r>
                  <m:rPr>
                    <m:sty m:val="p"/>
                  </m:rPr>
                  <m:t>e</m:t>
                </m:r>
                <m:r>
                  <m:rPr>
                    <m:sty m:val="p"/>
                  </m:rPr>
                  <m:t>a</m:t>
                </m:r>
                <m:r>
                  <m:rPr>
                    <m:sty m:val="p"/>
                  </m:rPr>
                  <m:t>c</m:t>
                </m:r>
                <m:r>
                  <m:rPr>
                    <m:sty m:val="p"/>
                  </m:rPr>
                  <m:t>h</m:t>
                </m:r>
              </m:sup>
            </m:sSup>
          </m:e>
        </m:d>
      </m:oMath>
      <w:r>
        <w:t xml:space="preserve"> </w:t>
      </w:r>
      <w:r>
        <w:t xml:space="preserve">is the</w:t>
      </w:r>
      <w:r>
        <w:t xml:space="preserve"> </w:t>
      </w:r>
      <m:oMath>
        <m:r>
          <m:t>ϵ</m:t>
        </m:r>
      </m:oMath>
      <w:r>
        <w:t xml:space="preserve">-packing number.</w:t>
      </w:r>
    </w:p>
    <w:p>
      <w:pPr>
        <w:pStyle w:val="BodyText"/>
      </w:pPr>
      <w:r>
        <w:rPr>
          <w:b/>
          <w:bCs/>
        </w:rPr>
        <w:t xml:space="preserve">Proof.</w:t>
      </w:r>
      <w:r>
        <w:t xml:space="preserve"> </w:t>
      </w:r>
      <w:r>
        <w:t xml:space="preserve">An</w:t>
      </w:r>
      <w:r>
        <w:t xml:space="preserve"> </w:t>
      </w:r>
      <m:oMath>
        <m:r>
          <m:t>ϵ</m:t>
        </m:r>
      </m:oMath>
      <w:r>
        <w:t xml:space="preserve">-separated set contains at most one member per point of a maximal</w:t>
      </w:r>
      <w:r>
        <w:t xml:space="preserve"> </w:t>
      </w:r>
      <m:oMath>
        <m:r>
          <m:t>ϵ</m:t>
        </m:r>
      </m:oMath>
      <w:r>
        <w:t xml:space="preserve">-packing. By definition the cardinality of any such set is bounded by the packing number.</w:t>
      </w:r>
      <w:r>
        <w:t xml:space="preserve"> </w:t>
      </w:r>
      <m:oMath>
        <m:r>
          <m:rPr>
            <m:sty m:val="p"/>
          </m:rPr>
          <m:t>▫</m:t>
        </m:r>
      </m:oMath>
    </w:p>
    <w:p>
      <w:pPr>
        <w:pStyle w:val="BodyText"/>
      </w:pPr>
      <w:r>
        <w:t xml:space="preserve">The proposition converts combinatorial explosion into an explicit dependence on the chosen behavior space, reachability region, and novelty scale. It is not a universal finite bound: total boundedness is an assumption that must be checked or enforced by truncation.</w:t>
      </w:r>
    </w:p>
    <w:bookmarkEnd w:id="50"/>
    <w:bookmarkEnd w:id="51"/>
    <w:bookmarkStart w:id="52" w:name="X06b10bda8b1f072e9e1cddefde1d5d7a8ff92bd"/>
    <w:p>
      <w:pPr>
        <w:pStyle w:val="Heading1"/>
        <w:keepNext/>
      </w:pPr>
      <w:r>
        <w:t xml:space="preserve">8. Determinantal point processes: optional, not canonical</w:t>
      </w:r>
    </w:p>
    <w:p>
      <w:pPr>
        <w:pStyle w:val="FirstParagraph"/>
      </w:pPr>
      <w:r>
        <w:t xml:space="preserve">DPPs are useful models of repulsive subset selection</w:t>
      </w:r>
      <w:r>
        <w:t xml:space="preserve"> </w:t>
      </w:r>
      <w:r>
        <w:t xml:space="preserve">[9]</w:t>
      </w:r>
      <w:r>
        <w:t xml:space="preserve">, but Round-1 research overclaimed their role. For a positive semidefinite</w:t>
      </w:r>
      <w:r>
        <w:t xml:space="preserve"> </w:t>
      </w:r>
      <m:oMath>
        <m:r>
          <m:t>L</m:t>
        </m:r>
      </m:oMath>
      <w:r>
        <w:t xml:space="preserve">-ensemble, a subset</w:t>
      </w:r>
      <w:r>
        <w:t xml:space="preserve"> </w:t>
      </w:r>
      <m:oMath>
        <m:r>
          <m:t>Y</m:t>
        </m:r>
      </m:oMath>
      <w:r>
        <w:t xml:space="preserve"> </w:t>
      </w:r>
      <w:r>
        <w:t xml:space="preserve">has probability proportional to</w:t>
      </w:r>
    </w:p>
    <w:p>
      <w:pPr>
        <w:pStyle w:val="BodyText"/>
      </w:pPr>
      <m:oMathPara>
        <m:oMathParaPr>
          <m:jc m:val="center"/>
        </m:oMathParaPr>
        <m:oMath>
          <m:r>
            <m:t>P</m:t>
          </m:r>
          <m:d>
            <m:dPr>
              <m:begChr m:val="("/>
              <m:endChr m:val=")"/>
              <m:sepChr m:val=""/>
              <m:grow/>
            </m:dPr>
            <m:e>
              <m:r>
                <m:t>Y</m:t>
              </m:r>
            </m:e>
          </m:d>
          <m:r>
            <m:rPr>
              <m:sty m:val="p"/>
            </m:rPr>
            <m:t>∝</m:t>
          </m:r>
          <m:r>
            <m:rPr>
              <m:sty m:val="p"/>
            </m:rPr>
            <m:t>det</m:t>
          </m:r>
          <m:d>
            <m:dPr>
              <m:begChr m:val="("/>
              <m:endChr m:val=")"/>
              <m:sepChr m:val=""/>
              <m:grow/>
            </m:dPr>
            <m:e>
              <m:sSub>
                <m:e>
                  <m:r>
                    <m:t>L</m:t>
                  </m:r>
                </m:e>
                <m:sub>
                  <m:r>
                    <m:t>Y</m:t>
                  </m:r>
                </m:sub>
              </m:sSub>
            </m:e>
          </m:d>
          <m:r>
            <m:rPr>
              <m:sty m:val="p"/>
            </m:rPr>
            <m:t>.</m:t>
          </m:r>
        </m:oMath>
      </m:oMathPara>
    </w:p>
    <w:p>
      <w:pPr>
        <w:pStyle w:val="FirstParagraph"/>
      </w:pPr>
      <w:r>
        <w:t xml:space="preserve">The determinant rewards diversity in the feature geometry encoded by</w:t>
      </w:r>
      <w:r>
        <w:t xml:space="preserve"> </w:t>
      </w:r>
      <m:oMath>
        <m:r>
          <m:t>L</m:t>
        </m:r>
      </m:oMath>
      <w:r>
        <w:t xml:space="preserve">. Exact MAP subset selection is combinatorial, and practical methods are approximate</w:t>
      </w:r>
      <w:r>
        <w:t xml:space="preserve"> </w:t>
      </w:r>
      <w:r>
        <w:t xml:space="preserve">[19]</w:t>
      </w:r>
      <w:r>
        <w:t xml:space="preserve">.</w:t>
      </w:r>
    </w:p>
    <w:p>
      <w:pPr>
        <w:pStyle w:val="BodyText"/>
      </w:pPr>
      <w:r>
        <w:rPr>
          <w:b/>
          <w:bCs/>
        </w:rPr>
        <w:t xml:space="preserve">Proposition 3 (Cardinality is imposed, not discovered).</w:t>
      </w:r>
      <w:r>
        <w:t xml:space="preserve"> </w:t>
      </w:r>
      <w:r>
        <w:t xml:space="preserve">If a DPP-based selector solves</w:t>
      </w:r>
    </w:p>
    <w:p>
      <w:pPr>
        <w:pStyle w:val="BodyText"/>
      </w:pPr>
      <m:oMathPara>
        <m:oMathParaPr>
          <m:jc m:val="center"/>
        </m:oMathParaPr>
        <m:oMath>
          <m:limLow>
            <m:e>
              <m:r>
                <m:rPr>
                  <m:sty m:val="p"/>
                </m:rPr>
                <m:t>max</m:t>
              </m:r>
            </m:e>
            <m:lim>
              <m:r>
                <m:t>Y</m:t>
              </m:r>
              <m:r>
                <m:rPr>
                  <m:sty m:val="p"/>
                </m:rPr>
                <m:t>⊆</m:t>
              </m:r>
              <m:r>
                <m:t>C</m:t>
              </m:r>
            </m:lim>
          </m:limLow>
          <m:r>
            <m:rPr>
              <m:sty m:val="p"/>
            </m:rPr>
            <m:t>det</m:t>
          </m:r>
          <m:d>
            <m:dPr>
              <m:begChr m:val="("/>
              <m:endChr m:val=")"/>
              <m:sepChr m:val=""/>
              <m:grow/>
            </m:dPr>
            <m:e>
              <m:sSub>
                <m:e>
                  <m:r>
                    <m:t>L</m:t>
                  </m:r>
                </m:e>
                <m:sub>
                  <m:r>
                    <m:t>Y</m:t>
                  </m:r>
                </m:sub>
              </m:sSub>
            </m:e>
          </m:d>
          <m:r>
            <m:t> </m:t>
          </m:r>
          <m:r>
            <m:rPr>
              <m:nor/>
              <m:sty m:val="p"/>
            </m:rPr>
            <m:t>subject to</m:t>
          </m:r>
          <m:r>
            <m:t> </m:t>
          </m:r>
          <m:d>
            <m:dPr>
              <m:begChr m:val="|"/>
              <m:endChr m:val="|"/>
              <m:sepChr m:val=""/>
              <m:grow/>
            </m:dPr>
            <m:e>
              <m:r>
                <m:t>Y</m:t>
              </m:r>
            </m:e>
          </m:d>
          <m:r>
            <m:rPr>
              <m:sty m:val="p"/>
            </m:rPr>
            <m:t>≤</m:t>
          </m:r>
          <m:r>
            <m:t>K</m:t>
          </m:r>
          <m:r>
            <m:rPr>
              <m:sty m:val="p"/>
            </m:rPr>
            <m:t>,</m:t>
          </m:r>
        </m:oMath>
      </m:oMathPara>
    </w:p>
    <w:p>
      <w:pPr>
        <w:pStyle w:val="FirstParagraph"/>
      </w:pPr>
      <w:r>
        <w:t xml:space="preserve">then</w:t>
      </w:r>
      <w:r>
        <w:t xml:space="preserve"> </w:t>
      </w:r>
      <m:oMath>
        <m:d>
          <m:dPr>
            <m:begChr m:val="|"/>
            <m:endChr m:val="|"/>
            <m:sepChr m:val=""/>
            <m:grow/>
          </m:dPr>
          <m:e>
            <m:r>
              <m:t>Y</m:t>
            </m:r>
          </m:e>
        </m:d>
        <m:r>
          <m:rPr>
            <m:sty m:val="p"/>
          </m:rPr>
          <m:t>≤</m:t>
        </m:r>
        <m:r>
          <m:t>K</m:t>
        </m:r>
      </m:oMath>
      <w:r>
        <w:t xml:space="preserve"> </w:t>
      </w:r>
      <w:r>
        <w:t xml:space="preserve">because of the explicit constraint, independent of the determinant objective.</w:t>
      </w:r>
    </w:p>
    <w:p>
      <w:pPr>
        <w:pStyle w:val="BodyText"/>
      </w:pPr>
      <w:r>
        <w:rPr>
          <w:b/>
          <w:bCs/>
        </w:rPr>
        <w:t xml:space="preserve">Proposition 4 (No automatic observational compression).</w:t>
      </w:r>
      <w:r>
        <w:t xml:space="preserve"> </w:t>
      </w:r>
      <w:r>
        <w:t xml:space="preserve">Determinant maximization does not imply removal of observationally equivalent hypotheses unless the kernel represents observational equivalence.</w:t>
      </w:r>
    </w:p>
    <w:p>
      <w:pPr>
        <w:pStyle w:val="BodyText"/>
      </w:pPr>
      <w:r>
        <w:rPr>
          <w:b/>
          <w:bCs/>
        </w:rPr>
        <w:t xml:space="preserve">Proof by counterexample.</w:t>
      </w:r>
      <w:r>
        <w:t xml:space="preserve"> </w:t>
      </w:r>
      <w:r>
        <w:t xml:space="preserve">Let</w:t>
      </w:r>
      <w:r>
        <w:t xml:space="preserve"> </w:t>
      </w:r>
      <m:oMath>
        <m:sSub>
          <m:e>
            <m:r>
              <m:t>h</m:t>
            </m:r>
          </m:e>
          <m:sub>
            <m:r>
              <m:t>1</m:t>
            </m:r>
          </m:sub>
        </m:sSub>
        <m:sSub>
          <m:e>
            <m:r>
              <m:rPr>
                <m:sty m:val="p"/>
              </m:rPr>
              <m:t>∼</m:t>
            </m:r>
          </m:e>
          <m:sub>
            <m:r>
              <m:rPr>
                <m:sty m:val="p"/>
              </m:rPr>
              <m:t>o</m:t>
            </m:r>
            <m:r>
              <m:rPr>
                <m:sty m:val="p"/>
              </m:rPr>
              <m:t>b</m:t>
            </m:r>
            <m:r>
              <m:rPr>
                <m:sty m:val="p"/>
              </m:rPr>
              <m:t>s</m:t>
            </m:r>
          </m:sub>
        </m:sSub>
        <m:sSub>
          <m:e>
            <m:r>
              <m:t>h</m:t>
            </m:r>
          </m:e>
          <m:sub>
            <m:r>
              <m:t>2</m:t>
            </m:r>
          </m:sub>
        </m:sSub>
      </m:oMath>
      <w:r>
        <w:t xml:space="preserve"> </w:t>
      </w:r>
      <w:r>
        <w:t xml:space="preserve">but let their feature vectors used by</w:t>
      </w:r>
      <w:r>
        <w:t xml:space="preserve"> </w:t>
      </w:r>
      <m:oMath>
        <m:r>
          <m:t>L</m:t>
        </m:r>
      </m:oMath>
      <w:r>
        <w:t xml:space="preserve"> </w:t>
      </w:r>
      <w:r>
        <w:t xml:space="preserve">be orthogonal because the kernel encodes structural or provenance differences. Then</w:t>
      </w:r>
      <w:r>
        <w:t xml:space="preserve"> </w:t>
      </w:r>
      <m:oMath>
        <m:sSub>
          <m:e>
            <m:r>
              <m:t>L</m:t>
            </m:r>
          </m:e>
          <m:sub>
            <m:r>
              <m:t>12</m:t>
            </m:r>
          </m:sub>
        </m:sSub>
        <m:r>
          <m:rPr>
            <m:sty m:val="p"/>
          </m:rPr>
          <m:t>=</m:t>
        </m:r>
        <m:r>
          <m:t>0</m:t>
        </m:r>
      </m:oMath>
      <w:r>
        <w:t xml:space="preserve"> </w:t>
      </w:r>
      <w:r>
        <w:t xml:space="preserve">and</w:t>
      </w:r>
      <w:r>
        <w:t xml:space="preserve"> </w:t>
      </w:r>
      <m:oMath>
        <m:r>
          <m:rPr>
            <m:sty m:val="p"/>
          </m:rPr>
          <m:t>det</m:t>
        </m:r>
        <m:d>
          <m:dPr>
            <m:begChr m:val="("/>
            <m:endChr m:val=")"/>
            <m:sepChr m:val=""/>
            <m:grow/>
          </m:dPr>
          <m:e>
            <m:sSub>
              <m:e>
                <m:r>
                  <m:t>L</m:t>
                </m:r>
              </m:e>
              <m:sub>
                <m:r>
                  <m:rPr>
                    <m:sty m:val="p"/>
                  </m:rPr>
                  <m:t>{</m:t>
                </m:r>
                <m:r>
                  <m:t>1</m:t>
                </m:r>
                <m:r>
                  <m:rPr>
                    <m:sty m:val="p"/>
                  </m:rPr>
                  <m:t>,</m:t>
                </m:r>
                <m:r>
                  <m:t>2</m:t>
                </m:r>
                <m:r>
                  <m:rPr>
                    <m:sty m:val="p"/>
                  </m:rPr>
                  <m:t>}</m:t>
                </m:r>
              </m:sub>
            </m:sSub>
          </m:e>
        </m:d>
        <m:r>
          <m:rPr>
            <m:sty m:val="p"/>
          </m:rPr>
          <m:t>=</m:t>
        </m:r>
        <m:sSub>
          <m:e>
            <m:r>
              <m:t>L</m:t>
            </m:r>
          </m:e>
          <m:sub>
            <m:r>
              <m:t>11</m:t>
            </m:r>
          </m:sub>
        </m:sSub>
        <m:sSub>
          <m:e>
            <m:r>
              <m:t>L</m:t>
            </m:r>
          </m:e>
          <m:sub>
            <m:r>
              <m:t>22</m:t>
            </m:r>
          </m:sub>
        </m:sSub>
        <m:r>
          <m:rPr>
            <m:sty m:val="p"/>
          </m:rPr>
          <m:t>&gt;</m:t>
        </m:r>
        <m:r>
          <m:t>0</m:t>
        </m:r>
      </m:oMath>
      <w:r>
        <w:t xml:space="preserve">, so both can be favored simultaneously. Therefore observational equivalence is not compressed unless the kernel or a separate equivalence rule makes such members maximally similar.</w:t>
      </w:r>
      <w:r>
        <w:t xml:space="preserve"> </w:t>
      </w:r>
      <m:oMath>
        <m:r>
          <m:rPr>
            <m:sty m:val="p"/>
          </m:rPr>
          <m:t>▫</m:t>
        </m:r>
      </m:oMath>
    </w:p>
    <w:p>
      <w:pPr>
        <w:pStyle w:val="BodyText"/>
      </w:pPr>
      <w:r>
        <w:t xml:space="preserve">DPPs are consequently optional candidate-subset mechanisms inside the broader archive architecture, not the definition of DHD.</w:t>
      </w:r>
    </w:p>
    <w:bookmarkEnd w:id="52"/>
    <w:bookmarkStart w:id="54" w:name="provenance-and-genealogy"/>
    <w:p>
      <w:pPr>
        <w:pStyle w:val="Heading1"/>
        <w:keepNext/>
      </w:pPr>
      <w:r>
        <w:t xml:space="preserve">9. Provenance and genealogy</w:t>
      </w:r>
    </w:p>
    <w:p>
      <w:pPr>
        <w:pStyle w:val="FirstParagraph"/>
      </w:pPr>
      <w:r>
        <w:t xml:space="preserve">DHD must be able to prove when and how a hypothesis was created. Provenance is therefore part of the mathematical object rather than a debug log.</w:t>
      </w:r>
    </w:p>
    <w:p>
      <w:pPr>
        <w:pStyle w:val="BodyText"/>
      </w:pPr>
      <w:r>
        <w:rPr>
          <w:b/>
          <w:bCs/>
        </w:rPr>
        <w:t xml:space="preserve">Definition 15 (Provenance DAG).</w:t>
      </w:r>
      <w:r>
        <w:t xml:space="preserve"> </w:t>
      </w:r>
      <w:r>
        <w:t xml:space="preserve">Let</w:t>
      </w:r>
    </w:p>
    <w:p>
      <w:pPr>
        <w:pStyle w:val="BodyText"/>
      </w:pPr>
      <m:oMathPara>
        <m:oMathParaPr>
          <m:jc m:val="center"/>
        </m:oMathParaPr>
        <m:oMath>
          <m:sSubSup>
            <m:e>
              <m:r>
                <m:t>G</m:t>
              </m:r>
            </m:e>
            <m:sub>
              <m:r>
                <m:t>t</m:t>
              </m:r>
            </m:sub>
            <m:sup>
              <m:r>
                <m:t>H</m:t>
              </m:r>
            </m:sup>
          </m:sSubSup>
          <m:r>
            <m:rPr>
              <m:sty m:val="p"/>
            </m:rPr>
            <m:t>=</m:t>
          </m:r>
          <m:d>
            <m:dPr>
              <m:begChr m:val="("/>
              <m:endChr m:val=")"/>
              <m:sepChr m:val=""/>
              <m:grow/>
            </m:dPr>
            <m:e>
              <m:sSubSup>
                <m:e>
                  <m:r>
                    <m:t>V</m:t>
                  </m:r>
                </m:e>
                <m:sub>
                  <m:r>
                    <m:t>t</m:t>
                  </m:r>
                </m:sub>
                <m:sup>
                  <m:r>
                    <m:t>H</m:t>
                  </m:r>
                </m:sup>
              </m:sSubSup>
              <m:r>
                <m:rPr>
                  <m:sty m:val="p"/>
                </m:rPr>
                <m:t>,</m:t>
              </m:r>
              <m:sSubSup>
                <m:e>
                  <m:r>
                    <m:t>E</m:t>
                  </m:r>
                </m:e>
                <m:sub>
                  <m:r>
                    <m:t>t</m:t>
                  </m:r>
                </m:sub>
                <m:sup>
                  <m:r>
                    <m:t>H</m:t>
                  </m:r>
                </m:sup>
              </m:sSubSup>
            </m:e>
          </m:d>
        </m:oMath>
      </m:oMathPara>
    </w:p>
    <w:p>
      <w:pPr>
        <w:pStyle w:val="FirstParagraph"/>
      </w:pPr>
      <w:r>
        <w:t xml:space="preserve">be a directed acyclic graph whose nodes are immutable hypothesis versions and whose labeled edges have the form</w:t>
      </w:r>
    </w:p>
    <w:p>
      <w:pPr>
        <w:pStyle w:val="BodyText"/>
      </w:pPr>
      <m:oMathPara>
        <m:oMathParaPr>
          <m:jc m:val="center"/>
        </m:oMathParaPr>
        <m:oMath>
          <m:sSub>
            <m:e>
              <m:r>
                <m:t>h</m:t>
              </m:r>
            </m:e>
            <m:sub>
              <m:r>
                <m:t>p</m:t>
              </m:r>
            </m:sub>
          </m:sSub>
          <m:limLow>
            <m:e>
              <m:limUpp>
                <m:e>
                  <m:r>
                    <m:rPr>
                      <m:sty m:val="p"/>
                    </m:rPr>
                    <m:t>→</m:t>
                  </m:r>
                </m:e>
                <m:lim>
                  <m:r>
                    <m:t>g</m:t>
                  </m:r>
                  <m:r>
                    <m:rPr>
                      <m:sty m:val="p"/>
                    </m:rPr>
                    <m:t>,</m:t>
                  </m:r>
                  <m:r>
                    <m:t> </m:t>
                  </m:r>
                  <m:sSub>
                    <m:e>
                      <m:r>
                        <m:t>ξ</m:t>
                      </m:r>
                    </m:e>
                    <m:sub>
                      <m:r>
                        <m:t>g</m:t>
                      </m:r>
                    </m:sub>
                  </m:sSub>
                </m:lim>
              </m:limUpp>
            </m:e>
            <m:lim>
              <m:r>
                <m:rPr>
                  <m:nor/>
                  <m:sty m:val="p"/>
                </m:rPr>
                <m:t>evidence hash, control, RNG, code version</m:t>
              </m:r>
            </m:lim>
          </m:limLow>
          <m:sSub>
            <m:e>
              <m:r>
                <m:t>h</m:t>
              </m:r>
            </m:e>
            <m:sub>
              <m:r>
                <m:t>c</m:t>
              </m:r>
            </m:sub>
          </m:sSub>
          <m:r>
            <m:rPr>
              <m:sty m:val="p"/>
            </m:rPr>
            <m:t>.</m:t>
          </m:r>
        </m:oMath>
      </m:oMathPara>
    </w:p>
    <w:p>
      <w:pPr>
        <w:pStyle w:val="FirstParagraph"/>
      </w:pPr>
      <w:r>
        <w:t xml:space="preserve">This extends standard data-provenance ideas</w:t>
      </w:r>
      <w:r>
        <w:t xml:space="preserve"> </w:t>
      </w:r>
      <w:r>
        <w:t xml:space="preserve">[20]</w:t>
      </w:r>
      <w:r>
        <w:t xml:space="preserve"> </w:t>
      </w:r>
      <w:r>
        <w:t xml:space="preserve">to model-generation lineage.</w:t>
      </w:r>
    </w:p>
    <w:p>
      <w:pPr>
        <w:pStyle w:val="BodyText"/>
      </w:pPr>
      <w:r>
        <w:t xml:space="preserve">Verified uses of</w:t>
      </w:r>
      <w:r>
        <w:t xml:space="preserve"> </w:t>
      </w:r>
      <m:oMath>
        <m:sSubSup>
          <m:e>
            <m:r>
              <m:t>G</m:t>
            </m:r>
          </m:e>
          <m:sub>
            <m:r>
              <m:t>t</m:t>
            </m:r>
          </m:sub>
          <m:sup>
            <m:r>
              <m:t>H</m:t>
            </m:r>
          </m:sup>
        </m:sSubSup>
      </m:oMath>
      <w:r>
        <w:t xml:space="preserve"> </w:t>
      </w:r>
      <w:r>
        <w:t xml:space="preserve">include reproducibility, lineage-aware novelty diagnostics, operator credit assignment using internal DHD rewards, auditability, and deduplication. A seed, parent content hash, generator version, parameters, evidence snapshot hash, and random-number state should be sufficient to reproduce a deterministic child-generation run within declared numerical tolerance.</w:t>
      </w:r>
    </w:p>
    <w:bookmarkStart w:id="53" w:name="provenance-does-not-solve-multiplicity"/>
    <w:p>
      <w:pPr>
        <w:pStyle w:val="Heading2"/>
        <w:keepNext/>
      </w:pPr>
      <w:r>
        <w:t xml:space="preserve">9.1 Provenance does not solve multiplicity</w:t>
      </w:r>
    </w:p>
    <w:p>
      <w:pPr>
        <w:pStyle w:val="FirstParagraph"/>
      </w:pPr>
      <w:r>
        <w:t xml:space="preserve">Adaptive DHD search can produce thousands of hypotheses from shared data. Shared ancestry does not itself specify the dependence among later statistical tests. The number of lineage roots is therefore not a valid substitute for the number or dependence structure of hypotheses in family-wise error or false-discovery control.</w:t>
      </w:r>
    </w:p>
    <w:p>
      <w:pPr>
        <w:pStyle w:val="BodyText"/>
      </w:pPr>
      <w:r>
        <w:t xml:space="preserve">DHD supplies provenance metadata to the adjudicator; the adjudicator must use a statistical procedure appropriate to adaptive or sequential testing. Classical FDR control</w:t>
      </w:r>
      <w:r>
        <w:t xml:space="preserve"> </w:t>
      </w:r>
      <w:r>
        <w:t xml:space="preserve">[21]</w:t>
      </w:r>
      <w:r>
        <w:t xml:space="preserve"> </w:t>
      </w:r>
      <w:r>
        <w:t xml:space="preserve">and sequential ideas such as alpha-investing</w:t>
      </w:r>
      <w:r>
        <w:t xml:space="preserve"> </w:t>
      </w:r>
      <w:r>
        <w:t xml:space="preserve">[22]</w:t>
      </w:r>
      <w:r>
        <w:t xml:space="preserve"> </w:t>
      </w:r>
      <w:r>
        <w:t xml:space="preserve">are relevant starting points, but this paper does not claim a complete solution for adaptive hypothesis generation.</w:t>
      </w:r>
    </w:p>
    <w:bookmarkEnd w:id="53"/>
    <w:bookmarkEnd w:id="54"/>
    <w:bookmarkStart w:id="55" w:name="reflexive-hypothesis-family"/>
    <w:p>
      <w:pPr>
        <w:pStyle w:val="Heading1"/>
        <w:keepNext/>
      </w:pPr>
      <w:r>
        <w:t xml:space="preserve">10. Reflexive hypothesis family</w:t>
      </w:r>
    </w:p>
    <w:p>
      <w:pPr>
        <w:pStyle w:val="FirstParagraph"/>
      </w:pPr>
      <w:r>
        <w:t xml:space="preserve">Markets and other strategic environments can be endogenous: forecasts or publicly visible signals can change behavior, which changes future data. A static DAG is not sufficient for a state-belief-action-state feedback loop. DHD therefore defines a separate reflexive family using dynamic/performative semantics</w:t>
      </w:r>
      <w:r>
        <w:t xml:space="preserve"> </w:t>
      </w:r>
      <w:r>
        <w:t xml:space="preserve">[11]</w:t>
      </w:r>
      <w:r>
        <w:t xml:space="preserve">.</w:t>
      </w:r>
    </w:p>
    <w:p>
      <w:pPr>
        <w:pStyle w:val="BodyText"/>
      </w:pPr>
      <w:r>
        <w:rPr>
          <w:b/>
          <w:bCs/>
        </w:rPr>
        <w:t xml:space="preserve">Definition 16 (Reflexive model family).</w:t>
      </w:r>
      <w:r>
        <w:t xml:space="preserve"> </w:t>
      </w:r>
      <w:r>
        <w:t xml:space="preserve">A member of</w:t>
      </w:r>
      <w:r>
        <w:t xml:space="preserve"> </w:t>
      </w:r>
      <m:oMath>
        <m:sSub>
          <m:e>
            <m:r>
              <m:rPr>
                <m:sty m:val="p"/>
                <m:scr m:val="script"/>
              </m:rPr>
              <m:t>H</m:t>
            </m:r>
          </m:e>
          <m:sub>
            <m:r>
              <m:rPr>
                <m:sty m:val="p"/>
              </m:rPr>
              <m:t>r</m:t>
            </m:r>
            <m:r>
              <m:rPr>
                <m:sty m:val="p"/>
              </m:rPr>
              <m:t>e</m:t>
            </m:r>
            <m:r>
              <m:rPr>
                <m:sty m:val="p"/>
              </m:rPr>
              <m:t>f</m:t>
            </m:r>
            <m:r>
              <m:rPr>
                <m:sty m:val="p"/>
              </m:rPr>
              <m:t>l</m:t>
            </m:r>
          </m:sub>
        </m:sSub>
      </m:oMath>
      <w:r>
        <w:t xml:space="preserve"> </w:t>
      </w:r>
      <w:r>
        <w:t xml:space="preserve">specifies</w:t>
      </w:r>
    </w:p>
    <w:p>
      <w:pPr>
        <w:pStyle w:val="BodyText"/>
        <w:jc w:val="center"/>
      </w:pPr>
      <w:r>
        <w:rPr>
          <w:rFonts w:ascii="Cambria Math" w:hAnsi="Cambria Math"/>
          <w:i/>
          <w:sz w:val="23"/>
        </w:rPr>
        <w:t>Xₜ₊₁ = f(Xₜ, Uₜ, εₜ₊₁),</w:t>
        <w:br/>
      </w:r>
      <w:r>
        <w:rPr>
          <w:rFonts w:ascii="Cambria Math" w:hAnsi="Cambria Math"/>
          <w:i/>
          <w:sz w:val="23"/>
        </w:rPr>
        <w:t>Bₜ = ℬ(X≤ₜ, Y≤ₜ, Mₜ),</w:t>
        <w:br/>
      </w:r>
      <w:r>
        <w:rPr>
          <w:rFonts w:ascii="Cambria Math" w:hAnsi="Cambria Math"/>
          <w:i/>
          <w:sz w:val="23"/>
        </w:rPr>
        <w:t>Uₜ = π(Bₜ, Mₜ),</w:t>
        <w:br/>
      </w:r>
      <w:r>
        <w:rPr>
          <w:rFonts w:ascii="Cambria Math" w:hAnsi="Cambria Math"/>
          <w:i/>
          <w:sz w:val="23"/>
        </w:rPr>
        <w:t>Mₜ₊₁ = ℳ(Mₜ, X̂ₜ, Uₜ).</w:t>
      </w:r>
    </w:p>
    <w:p>
      <w:pPr>
        <w:pStyle w:val="FirstParagraph"/>
      </w:pPr>
      <w:r>
        <w:t xml:space="preserve">where</w:t>
      </w:r>
      <w:r>
        <w:t xml:space="preserve"> </w:t>
      </w:r>
      <m:oMath>
        <m:sSub>
          <m:e>
            <m:r>
              <m:t>X</m:t>
            </m:r>
          </m:e>
          <m:sub>
            <m:r>
              <m:t>t</m:t>
            </m:r>
          </m:sub>
        </m:sSub>
      </m:oMath>
      <w:r>
        <w:t xml:space="preserve"> </w:t>
      </w:r>
      <w:r>
        <w:t xml:space="preserve">is environment state,</w:t>
      </w:r>
      <w:r>
        <w:t xml:space="preserve"> </w:t>
      </w:r>
      <m:oMath>
        <m:sSub>
          <m:e>
            <m:r>
              <m:t>B</m:t>
            </m:r>
          </m:e>
          <m:sub>
            <m:r>
              <m:t>t</m:t>
            </m:r>
          </m:sub>
        </m:sSub>
      </m:oMath>
      <w:r>
        <w:t xml:space="preserve"> </w:t>
      </w:r>
      <w:r>
        <w:t xml:space="preserve">participant belief state,</w:t>
      </w:r>
      <w:r>
        <w:t xml:space="preserve"> </w:t>
      </w:r>
      <m:oMath>
        <m:sSub>
          <m:e>
            <m:r>
              <m:t>U</m:t>
            </m:r>
          </m:e>
          <m:sub>
            <m:r>
              <m:t>t</m:t>
            </m:r>
          </m:sub>
        </m:sSub>
      </m:oMath>
      <w:r>
        <w:t xml:space="preserve"> </w:t>
      </w:r>
      <w:r>
        <w:t xml:space="preserve">participant action, and</w:t>
      </w:r>
      <w:r>
        <w:t xml:space="preserve"> </w:t>
      </w:r>
      <m:oMath>
        <m:sSub>
          <m:e>
            <m:r>
              <m:t>M</m:t>
            </m:r>
          </m:e>
          <m:sub>
            <m:r>
              <m:t>t</m:t>
            </m:r>
          </m:sub>
        </m:sSub>
      </m:oMath>
      <w:r>
        <w:t xml:space="preserve"> </w:t>
      </w:r>
      <w:r>
        <w:t xml:space="preserve">public information/model exposure. These variables describe the hypothesis’s modeled agents; they are not DogeOmegaRACLE trade instructions.</w:t>
      </w:r>
    </w:p>
    <w:p>
      <w:pPr>
        <w:pStyle w:val="BodyText"/>
      </w:pPr>
      <w:r>
        <w:t xml:space="preserve">A reflexive candidate must state either conditions under which the recursion is well posed (for example, contraction, bounded sensitivity, stable equilibrium, or finite-horizon simulation semantics) or an explicit nonconvergence behavior it predicts.</w:t>
      </w:r>
      <w:r>
        <w:t xml:space="preserve"> </w:t>
      </w:r>
      <m:oMath>
        <m:sSub>
          <m:e>
            <m:r>
              <m:t>G</m:t>
            </m:r>
          </m:e>
          <m:sub>
            <m:r>
              <m:rPr>
                <m:sty m:val="p"/>
              </m:rPr>
              <m:t>r</m:t>
            </m:r>
            <m:r>
              <m:rPr>
                <m:sty m:val="p"/>
              </m:rPr>
              <m:t>e</m:t>
            </m:r>
            <m:r>
              <m:rPr>
                <m:sty m:val="p"/>
              </m:rPr>
              <m:t>f</m:t>
            </m:r>
            <m:r>
              <m:rPr>
                <m:sty m:val="p"/>
              </m:rPr>
              <m:t>l</m:t>
            </m:r>
          </m:sub>
        </m:sSub>
      </m:oMath>
      <w:r>
        <w:t xml:space="preserve"> </w:t>
      </w:r>
      <w:r>
        <w:t xml:space="preserve">generates members of this family; the adjudicator later evaluates whether the hypothesized feedback exists.</w:t>
      </w:r>
    </w:p>
    <w:bookmarkEnd w:id="55"/>
    <w:bookmarkStart w:id="59" w:name="X7a8c2cd1c0ae5d58d3fb40d8a932caa4327559e"/>
    <w:p>
      <w:pPr>
        <w:pStyle w:val="Heading1"/>
        <w:keepNext/>
      </w:pPr>
      <w:r>
        <w:t xml:space="preserve">11. Rare-region, analogical, and abductive generation</w:t>
      </w:r>
    </w:p>
    <w:bookmarkStart w:id="56" w:name="rare-region-generation"/>
    <w:p>
      <w:pPr>
        <w:pStyle w:val="Heading2"/>
        <w:keepNext/>
      </w:pPr>
      <w:r>
        <w:t xml:space="preserve">11.1 Rare-region generation</w:t>
      </w:r>
    </w:p>
    <w:p>
      <w:pPr>
        <w:pStyle w:val="FirstParagraph"/>
      </w:pPr>
      <w:r>
        <w:t xml:space="preserve">The phrase</w:t>
      </w:r>
      <w:r>
        <w:t xml:space="preserve"> </w:t>
      </w:r>
      <m:oMath>
        <m:r>
          <m:t>P</m:t>
        </m:r>
        <m:d>
          <m:dPr>
            <m:begChr m:val="("/>
            <m:endChr m:val=")"/>
            <m:sepChr m:val=""/>
            <m:grow/>
          </m:dPr>
          <m:e>
            <m:r>
              <m:t>h</m:t>
            </m:r>
          </m:e>
        </m:d>
        <m:r>
          <m:rPr>
            <m:sty m:val="p"/>
          </m:rPr>
          <m:t>≪</m:t>
        </m:r>
        <m:r>
          <m:t>1</m:t>
        </m:r>
      </m:oMath>
      <w:r>
        <w:t xml:space="preserve"> </w:t>
      </w:r>
      <w:r>
        <w:t xml:space="preserve">is undefined unless a probability measure over hypotheses has been declared. DHD therefore distinguishes:</w:t>
      </w:r>
    </w:p>
    <w:p>
      <w:pPr>
        <w:pStyle w:val="Compact"/>
        <w:numPr>
          <w:ilvl w:val="0"/>
          <w:numId w:val="1004"/>
        </w:numPr>
      </w:pPr>
      <w:r>
        <w:t xml:space="preserve">low prior probability under a specified prior</w:t>
      </w:r>
      <w:r>
        <w:t xml:space="preserve"> </w:t>
      </w:r>
      <m:oMath>
        <m:r>
          <m:t>π</m:t>
        </m:r>
        <m:d>
          <m:dPr>
            <m:begChr m:val="("/>
            <m:endChr m:val=")"/>
            <m:sepChr m:val=""/>
            <m:grow/>
          </m:dPr>
          <m:e>
            <m:r>
              <m:t>h</m:t>
            </m:r>
          </m:e>
        </m:d>
      </m:oMath>
      <w:r>
        <w:t xml:space="preserve">;</w:t>
      </w:r>
    </w:p>
    <w:p>
      <w:pPr>
        <w:pStyle w:val="Compact"/>
        <w:numPr>
          <w:ilvl w:val="0"/>
          <w:numId w:val="1004"/>
        </w:numPr>
      </w:pPr>
      <w:r>
        <w:t xml:space="preserve">low proposal probability under the current generator policy;</w:t>
      </w:r>
    </w:p>
    <w:p>
      <w:pPr>
        <w:pStyle w:val="Compact"/>
        <w:numPr>
          <w:ilvl w:val="0"/>
          <w:numId w:val="1004"/>
        </w:numPr>
      </w:pPr>
      <w:r>
        <w:t xml:space="preserve">tail parameter regions under a family-specific reference measure;</w:t>
      </w:r>
    </w:p>
    <w:p>
      <w:pPr>
        <w:pStyle w:val="Compact"/>
        <w:numPr>
          <w:ilvl w:val="0"/>
          <w:numId w:val="1004"/>
        </w:numPr>
      </w:pPr>
      <w:r>
        <w:t xml:space="preserve">low-frequency latent regimes;</w:t>
      </w:r>
    </w:p>
    <w:p>
      <w:pPr>
        <w:pStyle w:val="Compact"/>
        <w:numPr>
          <w:ilvl w:val="0"/>
          <w:numId w:val="1004"/>
        </w:numPr>
      </w:pPr>
      <w:r>
        <w:t xml:space="preserve">rare predicted events under</w:t>
      </w:r>
      <w:r>
        <w:t xml:space="preserve"> </w:t>
      </w:r>
      <m:oMath>
        <m:sSub>
          <m:e>
            <m:r>
              <m:t>Q</m:t>
            </m:r>
          </m:e>
          <m:sub>
            <m:r>
              <m:t>h</m:t>
            </m:r>
          </m:sub>
        </m:sSub>
      </m:oMath>
      <w:r>
        <w:t xml:space="preserve">.</w:t>
      </w:r>
    </w:p>
    <w:p>
      <w:pPr>
        <w:pStyle w:val="FirstParagraph"/>
      </w:pPr>
      <w:r>
        <w:t xml:space="preserve">A rare-region generator must state which reference measure defines rarity.</w:t>
      </w:r>
      <w:r>
        <w:t xml:space="preserve"> </w:t>
      </w:r>
      <w:r>
        <w:t xml:space="preserve">“</w:t>
      </w:r>
      <w:r>
        <w:t xml:space="preserve">Unusual</w:t>
      </w:r>
      <w:r>
        <w:t xml:space="preserve">”</w:t>
      </w:r>
      <w:r>
        <w:t xml:space="preserve"> </w:t>
      </w:r>
      <w:r>
        <w:t xml:space="preserve">is not a mathematical operator.</w:t>
      </w:r>
    </w:p>
    <w:bookmarkEnd w:id="56"/>
    <w:bookmarkStart w:id="57" w:name="analogical-generation"/>
    <w:p>
      <w:pPr>
        <w:pStyle w:val="Heading2"/>
        <w:keepNext/>
      </w:pPr>
      <w:r>
        <w:t xml:space="preserve">11.2 Analogical generation</w:t>
      </w:r>
    </w:p>
    <w:p>
      <w:pPr>
        <w:pStyle w:val="FirstParagraph"/>
      </w:pPr>
      <w:r>
        <w:t xml:space="preserve">Analogical generation is optional because semantic analogy can easily become decorative language. If retained, it must output a typed structure-mapping record inspired by relational analogy theory</w:t>
      </w:r>
      <w:r>
        <w:t xml:space="preserve"> </w:t>
      </w:r>
      <w:r>
        <w:t xml:space="preserve">[23]</w:t>
      </w:r>
      <w:r>
        <w:t xml:space="preserve">: source model, target domain, mapping, preserved relations, broken relations, induced hypothesis, and at least one discriminating consequence. Otherwise the object is not admitted as a scientific hypothesis.</w:t>
      </w:r>
    </w:p>
    <w:bookmarkEnd w:id="57"/>
    <w:bookmarkStart w:id="58" w:name="abduction"/>
    <w:p>
      <w:pPr>
        <w:pStyle w:val="Heading2"/>
        <w:keepNext/>
      </w:pPr>
      <w:r>
        <w:t xml:space="preserve">11.3 Abduction</w:t>
      </w:r>
    </w:p>
    <w:p>
      <w:pPr>
        <w:pStyle w:val="FirstParagraph"/>
      </w:pPr>
      <w:r>
        <w:t xml:space="preserve">DHD’s broad function is compatible with abductive generation—constructing candidate explanations for observed phenomena—but DHD does not equate explanatory adequacy with truth. A candidate explanation still requires later evidence-based adjudication. Probabilistic programming is attractive because it makes many such candidates executable</w:t>
      </w:r>
      <w:r>
        <w:t xml:space="preserve"> </w:t>
      </w:r>
      <w:r>
        <w:t xml:space="preserve">[8]</w:t>
      </w:r>
      <w:r>
        <w:t xml:space="preserve">.</w:t>
      </w:r>
    </w:p>
    <w:bookmarkEnd w:id="58"/>
    <w:bookmarkEnd w:id="59"/>
    <w:bookmarkStart w:id="60" w:name="X8fda059175806fa33791c726fd35e779f99f737"/>
    <w:p>
      <w:pPr>
        <w:pStyle w:val="Heading1"/>
        <w:keepNext/>
      </w:pPr>
      <w:r>
        <w:t xml:space="preserve">12. Resource model and computational complexity</w:t>
      </w:r>
    </w:p>
    <w:p>
      <w:pPr>
        <w:pStyle w:val="FirstParagraph"/>
      </w:pPr>
      <w:r>
        <w:t xml:space="preserve">DHD is explicitly resource bounded. Let the cost vector of operation</w:t>
      </w:r>
      <w:r>
        <w:t xml:space="preserve"> </w:t>
      </w:r>
      <m:oMath>
        <m:r>
          <m:t>o</m:t>
        </m:r>
      </m:oMath>
      <w:r>
        <w:t xml:space="preserve"> </w:t>
      </w:r>
      <w:r>
        <w:t xml:space="preserve">be</w:t>
      </w:r>
    </w:p>
    <w:p>
      <w:pPr>
        <w:pStyle w:val="BodyText"/>
      </w:pPr>
      <m:oMathPara>
        <m:oMathParaPr>
          <m:jc m:val="center"/>
        </m:oMathParaPr>
        <m:oMath>
          <m:r>
            <m:rPr>
              <m:sty m:val="b"/>
            </m:rPr>
            <m:t>c</m:t>
          </m:r>
          <m:d>
            <m:dPr>
              <m:begChr m:val="("/>
              <m:endChr m:val=")"/>
              <m:sepChr m:val=""/>
              <m:grow/>
            </m:dPr>
            <m:e>
              <m:r>
                <m:t>o</m:t>
              </m:r>
            </m:e>
          </m:d>
          <m:r>
            <m:rPr>
              <m:sty m:val="p"/>
            </m:rPr>
            <m:t>=</m:t>
          </m:r>
          <m:d>
            <m:dPr>
              <m:begChr m:val="("/>
              <m:endChr m:val=")"/>
              <m:sepChr m:val=""/>
              <m:grow/>
            </m:dPr>
            <m:e>
              <m:sSub>
                <m:e>
                  <m:r>
                    <m:t>c</m:t>
                  </m:r>
                </m:e>
                <m:sub>
                  <m:r>
                    <m:rPr>
                      <m:sty m:val="p"/>
                    </m:rPr>
                    <m:t>c</m:t>
                  </m:r>
                  <m:r>
                    <m:rPr>
                      <m:sty m:val="p"/>
                    </m:rPr>
                    <m:t>p</m:t>
                  </m:r>
                  <m:r>
                    <m:rPr>
                      <m:sty m:val="p"/>
                    </m:rPr>
                    <m:t>u</m:t>
                  </m:r>
                </m:sub>
              </m:sSub>
              <m:r>
                <m:rPr>
                  <m:sty m:val="p"/>
                </m:rPr>
                <m:t>,</m:t>
              </m:r>
              <m:sSub>
                <m:e>
                  <m:r>
                    <m:t>c</m:t>
                  </m:r>
                </m:e>
                <m:sub>
                  <m:r>
                    <m:rPr>
                      <m:sty m:val="p"/>
                    </m:rPr>
                    <m:t>m</m:t>
                  </m:r>
                  <m:r>
                    <m:rPr>
                      <m:sty m:val="p"/>
                    </m:rPr>
                    <m:t>e</m:t>
                  </m:r>
                  <m:r>
                    <m:rPr>
                      <m:sty m:val="p"/>
                    </m:rPr>
                    <m:t>m</m:t>
                  </m:r>
                </m:sub>
              </m:sSub>
              <m:r>
                <m:rPr>
                  <m:sty m:val="p"/>
                </m:rPr>
                <m:t>,</m:t>
              </m:r>
              <m:sSub>
                <m:e>
                  <m:r>
                    <m:t>c</m:t>
                  </m:r>
                </m:e>
                <m:sub>
                  <m:r>
                    <m:rPr>
                      <m:sty m:val="p"/>
                    </m:rPr>
                    <m:t>l</m:t>
                  </m:r>
                  <m:r>
                    <m:rPr>
                      <m:sty m:val="p"/>
                    </m:rPr>
                    <m:t>a</m:t>
                  </m:r>
                  <m:r>
                    <m:rPr>
                      <m:sty m:val="p"/>
                    </m:rPr>
                    <m:t>t</m:t>
                  </m:r>
                </m:sub>
              </m:sSub>
              <m:r>
                <m:rPr>
                  <m:sty m:val="p"/>
                </m:rPr>
                <m:t>,</m:t>
              </m:r>
              <m:sSub>
                <m:e>
                  <m:r>
                    <m:t>c</m:t>
                  </m:r>
                </m:e>
                <m:sub>
                  <m:r>
                    <m:rPr>
                      <m:sty m:val="p"/>
                    </m:rPr>
                    <m:t>s</m:t>
                  </m:r>
                  <m:r>
                    <m:rPr>
                      <m:sty m:val="p"/>
                    </m:rPr>
                    <m:t>i</m:t>
                  </m:r>
                  <m:r>
                    <m:rPr>
                      <m:sty m:val="p"/>
                    </m:rPr>
                    <m:t>m</m:t>
                  </m:r>
                </m:sub>
              </m:sSub>
              <m:r>
                <m:rPr>
                  <m:sty m:val="p"/>
                </m:rPr>
                <m:t>,</m:t>
              </m:r>
              <m:sSub>
                <m:e>
                  <m:r>
                    <m:t>c</m:t>
                  </m:r>
                </m:e>
                <m:sub>
                  <m:r>
                    <m:rPr>
                      <m:sty m:val="p"/>
                    </m:rPr>
                    <m:t>s</m:t>
                  </m:r>
                  <m:r>
                    <m:rPr>
                      <m:sty m:val="p"/>
                    </m:rPr>
                    <m:t>t</m:t>
                  </m:r>
                  <m:r>
                    <m:rPr>
                      <m:sty m:val="p"/>
                    </m:rPr>
                    <m:t>o</m:t>
                  </m:r>
                  <m:r>
                    <m:rPr>
                      <m:sty m:val="p"/>
                    </m:rPr>
                    <m:t>r</m:t>
                  </m:r>
                  <m:r>
                    <m:rPr>
                      <m:sty m:val="p"/>
                    </m:rPr>
                    <m:t>e</m:t>
                  </m:r>
                </m:sub>
              </m:sSub>
            </m:e>
          </m:d>
          <m:r>
            <m:rPr>
              <m:sty m:val="p"/>
            </m:rPr>
            <m:t>.</m:t>
          </m:r>
        </m:oMath>
      </m:oMathPara>
    </w:p>
    <w:p>
      <w:pPr>
        <w:pStyle w:val="FirstParagraph"/>
      </w:pPr>
      <w:r>
        <w:t xml:space="preserve">Budgets are vector-valued. They should not be collapsed into a scalar unless a declared exchange-rate model exists.</w:t>
      </w:r>
    </w:p>
    <w:p>
      <w:pPr>
        <w:pStyle w:val="BodyText"/>
      </w:pPr>
      <w:r>
        <w:t xml:space="preserve">For</w:t>
      </w:r>
      <w:r>
        <w:t xml:space="preserve"> </w:t>
      </w:r>
      <m:oMath>
        <m:r>
          <m:t>N</m:t>
        </m:r>
      </m:oMath>
      <w:r>
        <w:t xml:space="preserve"> </w:t>
      </w:r>
      <w:r>
        <w:t xml:space="preserve">active hypotheses, naive pairwise comparison is</w:t>
      </w:r>
      <w:r>
        <w:t xml:space="preserve"> </w:t>
      </w:r>
      <m:oMath>
        <m:r>
          <m:t>O</m:t>
        </m:r>
        <m:d>
          <m:dPr>
            <m:begChr m:val="("/>
            <m:endChr m:val=")"/>
            <m:sepChr m:val=""/>
            <m:grow/>
          </m:dPr>
          <m:e>
            <m:sSup>
              <m:e>
                <m:r>
                  <m:t>N</m:t>
                </m:r>
              </m:e>
              <m:sup>
                <m:r>
                  <m:t>2</m:t>
                </m:r>
              </m:sup>
            </m:sSup>
            <m:sSub>
              <m:e>
                <m:r>
                  <m:t>C</m:t>
                </m:r>
              </m:e>
              <m:sub>
                <m:r>
                  <m:t>d</m:t>
                </m:r>
              </m:sub>
            </m:sSub>
          </m:e>
        </m:d>
      </m:oMath>
      <w:r>
        <w:t xml:space="preserve"> </w:t>
      </w:r>
      <w:r>
        <w:t xml:space="preserve">where</w:t>
      </w:r>
      <w:r>
        <w:t xml:space="preserve"> </w:t>
      </w:r>
      <m:oMath>
        <m:sSub>
          <m:e>
            <m:r>
              <m:t>C</m:t>
            </m:r>
          </m:e>
          <m:sub>
            <m:r>
              <m:t>d</m:t>
            </m:r>
          </m:sub>
        </m:sSub>
      </m:oMath>
      <w:r>
        <w:t xml:space="preserve"> </w:t>
      </w:r>
      <w:r>
        <w:t xml:space="preserve">is the cost of the selected view. Expensive model simulation can dominate the nominal quadratic factor. DHD should therefore use a staged pipeline:</w:t>
      </w:r>
    </w:p>
    <w:p>
      <w:pPr>
        <w:pStyle w:val="Compact"/>
        <w:numPr>
          <w:ilvl w:val="0"/>
          <w:numId w:val="1005"/>
        </w:numPr>
      </w:pPr>
      <w:r>
        <w:t xml:space="preserve">canonical hashes and type-aware normal forms for exact duplicates;</w:t>
      </w:r>
    </w:p>
    <w:p>
      <w:pPr>
        <w:pStyle w:val="Compact"/>
        <w:numPr>
          <w:ilvl w:val="0"/>
          <w:numId w:val="1005"/>
        </w:numPr>
      </w:pPr>
      <w:r>
        <w:t xml:space="preserve">cheap behavior sketches for approximate neighborhood search;</w:t>
      </w:r>
    </w:p>
    <w:p>
      <w:pPr>
        <w:pStyle w:val="Compact"/>
        <w:numPr>
          <w:ilvl w:val="0"/>
          <w:numId w:val="1005"/>
        </w:numPr>
      </w:pPr>
      <w:r>
        <w:t xml:space="preserve">approximate nearest-neighbor novelty estimation;</w:t>
      </w:r>
    </w:p>
    <w:p>
      <w:pPr>
        <w:pStyle w:val="Compact"/>
        <w:numPr>
          <w:ilvl w:val="0"/>
          <w:numId w:val="1005"/>
        </w:numPr>
      </w:pPr>
      <w:r>
        <w:t xml:space="preserve">expensive predictive/interventional comparisons only within local neighborhoods;</w:t>
      </w:r>
    </w:p>
    <w:p>
      <w:pPr>
        <w:pStyle w:val="Compact"/>
        <w:numPr>
          <w:ilvl w:val="0"/>
          <w:numId w:val="1005"/>
        </w:numPr>
      </w:pPr>
      <w:r>
        <w:t xml:space="preserve">archive selection on a coreset, descriptor cells, or bounded candidate batch.</w:t>
      </w:r>
    </w:p>
    <w:p>
      <w:pPr>
        <w:pStyle w:val="FirstParagraph"/>
      </w:pPr>
      <w:r>
        <w:t xml:space="preserve">Sequential Monte Carlo provides a useful warning: posterior resampling can lead to particle impoverishment and genealogical degeneracy</w:t>
      </w:r>
      <w:r>
        <w:t xml:space="preserve"> </w:t>
      </w:r>
      <w:r>
        <w:t xml:space="preserve">[4], [5]</w:t>
      </w:r>
      <w:r>
        <w:t xml:space="preserve">. DHD imports the lesson that diversity requires active preservation, but DHD is not itself an SMC posterior approximation, so SMC convergence results do not transfer wholesale.</w:t>
      </w:r>
    </w:p>
    <w:bookmarkEnd w:id="60"/>
    <w:bookmarkStart w:id="63" w:name="dhd-output-contracts"/>
    <w:p>
      <w:pPr>
        <w:pStyle w:val="Heading1"/>
        <w:keepNext/>
      </w:pPr>
      <w:r>
        <w:t xml:space="preserve">13. DHD output contracts</w:t>
      </w:r>
    </w:p>
    <w:bookmarkStart w:id="61" w:name="dhd-to-pdc"/>
    <w:p>
      <w:pPr>
        <w:pStyle w:val="Heading2"/>
        <w:keepNext/>
      </w:pPr>
      <w:r>
        <w:t xml:space="preserve">13.1 DHD to PDC</w:t>
      </w:r>
    </w:p>
    <w:p>
      <w:pPr>
        <w:pStyle w:val="FirstParagraph"/>
      </w:pPr>
      <w:r>
        <w:t xml:space="preserve">DHD returns only exploratory diagnostics and state:</w:t>
      </w:r>
    </w:p>
    <w:p>
      <w:pPr>
        <w:pStyle w:val="BodyText"/>
      </w:pPr>
      <m:oMathPara>
        <m:oMathParaPr>
          <m:jc m:val="center"/>
        </m:oMathParaPr>
        <m:oMath>
          <m:sSubSup>
            <m:e>
              <m:r>
                <m:t>R</m:t>
              </m:r>
            </m:e>
            <m:sub>
              <m:r>
                <m:t>t</m:t>
              </m:r>
            </m:sub>
            <m:sup>
              <m:r>
                <m:t>D</m:t>
              </m:r>
            </m:sup>
          </m:sSubSup>
          <m:r>
            <m:rPr>
              <m:sty m:val="p"/>
            </m:rPr>
            <m:t>=</m:t>
          </m:r>
          <m:d>
            <m:dPr>
              <m:begChr m:val="("/>
              <m:endChr m:val=")"/>
              <m:sepChr m:val=""/>
              <m:grow/>
            </m:dPr>
            <m:e>
              <m:sSub>
                <m:e>
                  <m:r>
                    <m:t>A</m:t>
                  </m:r>
                </m:e>
                <m:sub>
                  <m:r>
                    <m:t>t</m:t>
                  </m:r>
                </m:sub>
              </m:sSub>
              <m:r>
                <m:rPr>
                  <m:sty m:val="p"/>
                </m:rPr>
                <m:t>,</m:t>
              </m:r>
              <m:r>
                <m:t> </m:t>
              </m:r>
              <m:sSub>
                <m:e>
                  <m:r>
                    <m:t>D</m:t>
                  </m:r>
                </m:e>
                <m:sub>
                  <m:r>
                    <m:t>t</m:t>
                  </m:r>
                </m:sub>
              </m:sSub>
              <m:r>
                <m:rPr>
                  <m:sty m:val="p"/>
                </m:rPr>
                <m:t>,</m:t>
              </m:r>
              <m:r>
                <m:t> </m:t>
              </m:r>
              <m:sSubSup>
                <m:e>
                  <m:r>
                    <m:rPr>
                      <m:sty m:val="b"/>
                    </m:rPr>
                    <m:t>m</m:t>
                  </m:r>
                </m:e>
                <m:sub>
                  <m:r>
                    <m:t>t</m:t>
                  </m:r>
                </m:sub>
                <m:sup>
                  <m:r>
                    <m:rPr>
                      <m:sty m:val="p"/>
                    </m:rPr>
                    <m:t>d</m:t>
                  </m:r>
                  <m:r>
                    <m:rPr>
                      <m:sty m:val="p"/>
                    </m:rPr>
                    <m:t>i</m:t>
                  </m:r>
                  <m:r>
                    <m:rPr>
                      <m:sty m:val="p"/>
                    </m:rPr>
                    <m:t>v</m:t>
                  </m:r>
                </m:sup>
              </m:sSubSup>
              <m:r>
                <m:rPr>
                  <m:sty m:val="p"/>
                </m:rPr>
                <m:t>,</m:t>
              </m:r>
              <m:r>
                <m:t> </m:t>
              </m:r>
              <m:sSubSup>
                <m:e>
                  <m:r>
                    <m:rPr>
                      <m:sty m:val="b"/>
                    </m:rPr>
                    <m:t>m</m:t>
                  </m:r>
                </m:e>
                <m:sub>
                  <m:r>
                    <m:t>t</m:t>
                  </m:r>
                </m:sub>
                <m:sup>
                  <m:r>
                    <m:rPr>
                      <m:sty m:val="p"/>
                    </m:rPr>
                    <m:t>c</m:t>
                  </m:r>
                  <m:r>
                    <m:rPr>
                      <m:sty m:val="p"/>
                    </m:rPr>
                    <m:t>o</m:t>
                  </m:r>
                  <m:r>
                    <m:rPr>
                      <m:sty m:val="p"/>
                    </m:rPr>
                    <m:t>v</m:t>
                  </m:r>
                </m:sup>
              </m:sSubSup>
              <m:r>
                <m:rPr>
                  <m:sty m:val="p"/>
                </m:rPr>
                <m:t>,</m:t>
              </m:r>
              <m:r>
                <m:t> </m:t>
              </m:r>
              <m:sSubSup>
                <m:e>
                  <m:r>
                    <m:rPr>
                      <m:sty m:val="b"/>
                    </m:rPr>
                    <m:t>m</m:t>
                  </m:r>
                </m:e>
                <m:sub>
                  <m:r>
                    <m:t>t</m:t>
                  </m:r>
                </m:sub>
                <m:sup>
                  <m:r>
                    <m:rPr>
                      <m:sty m:val="p"/>
                    </m:rPr>
                    <m:t>v</m:t>
                  </m:r>
                  <m:r>
                    <m:rPr>
                      <m:sty m:val="p"/>
                    </m:rPr>
                    <m:t>a</m:t>
                  </m:r>
                  <m:r>
                    <m:rPr>
                      <m:sty m:val="p"/>
                    </m:rPr>
                    <m:t>l</m:t>
                  </m:r>
                  <m:r>
                    <m:rPr>
                      <m:sty m:val="p"/>
                    </m:rPr>
                    <m:t>i</m:t>
                  </m:r>
                  <m:r>
                    <m:rPr>
                      <m:sty m:val="p"/>
                    </m:rPr>
                    <m:t>d</m:t>
                  </m:r>
                </m:sup>
              </m:sSubSup>
              <m:r>
                <m:rPr>
                  <m:sty m:val="p"/>
                </m:rPr>
                <m:t>,</m:t>
              </m:r>
              <m:r>
                <m:t> </m:t>
              </m:r>
              <m:sSubSup>
                <m:e>
                  <m:r>
                    <m:rPr>
                      <m:sty m:val="b"/>
                    </m:rPr>
                    <m:t>m</m:t>
                  </m:r>
                </m:e>
                <m:sub>
                  <m:r>
                    <m:t>t</m:t>
                  </m:r>
                </m:sub>
                <m:sup>
                  <m:r>
                    <m:rPr>
                      <m:sty m:val="p"/>
                    </m:rPr>
                    <m:t>c</m:t>
                  </m:r>
                  <m:r>
                    <m:rPr>
                      <m:sty m:val="p"/>
                    </m:rPr>
                    <m:t>o</m:t>
                  </m:r>
                  <m:r>
                    <m:rPr>
                      <m:sty m:val="p"/>
                    </m:rPr>
                    <m:t>s</m:t>
                  </m:r>
                  <m:r>
                    <m:rPr>
                      <m:sty m:val="p"/>
                    </m:rPr>
                    <m:t>t</m:t>
                  </m:r>
                </m:sup>
              </m:sSubSup>
              <m:r>
                <m:rPr>
                  <m:sty m:val="p"/>
                </m:rPr>
                <m:t>,</m:t>
              </m:r>
              <m:r>
                <m:t> </m:t>
              </m:r>
              <m:sSubSup>
                <m:e>
                  <m:r>
                    <m:t>G</m:t>
                  </m:r>
                </m:e>
                <m:sub>
                  <m:r>
                    <m:t>t</m:t>
                  </m:r>
                </m:sub>
                <m:sup>
                  <m:r>
                    <m:t>H</m:t>
                  </m:r>
                </m:sup>
              </m:sSubSup>
            </m:e>
          </m:d>
          <m:r>
            <m:rPr>
              <m:sty m:val="p"/>
            </m:rPr>
            <m:t>.</m:t>
          </m:r>
        </m:oMath>
      </m:oMathPara>
    </w:p>
    <w:p>
      <w:pPr>
        <w:pStyle w:val="FirstParagraph"/>
      </w:pPr>
      <w:r>
        <w:t xml:space="preserve">PDC may use these diagnostics to adjust future</w:t>
      </w:r>
      <w:r>
        <w:t xml:space="preserve"> </w:t>
      </w:r>
      <m:oMath>
        <m:sSubSup>
          <m:e>
            <m:r>
              <m:t>u</m:t>
            </m:r>
          </m:e>
          <m:sub>
            <m:r>
              <m:t>t</m:t>
            </m:r>
          </m:sub>
          <m:sup>
            <m:r>
              <m:t>D</m:t>
            </m:r>
          </m:sup>
        </m:sSubSup>
      </m:oMath>
      <w:r>
        <w:t xml:space="preserve">. DHD must not return a trade direction, order size, execution command, or belief weight masquerading as an exploration metric.</w:t>
      </w:r>
    </w:p>
    <w:bookmarkEnd w:id="61"/>
    <w:bookmarkStart w:id="62" w:name="dhd-to-epistemic-adjudicator"/>
    <w:p>
      <w:pPr>
        <w:pStyle w:val="Heading2"/>
        <w:keepNext/>
      </w:pPr>
      <w:r>
        <w:t xml:space="preserve">13.2 DHD to epistemic adjudicator</w:t>
      </w:r>
    </w:p>
    <w:p>
      <w:pPr>
        <w:pStyle w:val="FirstParagraph"/>
      </w:pPr>
      <w:r>
        <w:t xml:space="preserve">Every active hypothesis exports at least:</w:t>
      </w:r>
    </w:p>
    <w:p>
      <w:pPr>
        <w:pStyle w:val="Compact"/>
        <w:numPr>
          <w:ilvl w:val="0"/>
          <w:numId w:val="1006"/>
        </w:numPr>
      </w:pPr>
      <w:r>
        <w:t xml:space="preserve">immutable hypothesis ID and family tag;</w:t>
      </w:r>
    </w:p>
    <w:p>
      <w:pPr>
        <w:pStyle w:val="Compact"/>
        <w:numPr>
          <w:ilvl w:val="0"/>
          <w:numId w:val="1006"/>
        </w:numPr>
      </w:pPr>
      <w:r>
        <w:t xml:space="preserve">executable model/version;</w:t>
      </w:r>
    </w:p>
    <w:p>
      <w:pPr>
        <w:pStyle w:val="Compact"/>
        <w:numPr>
          <w:ilvl w:val="0"/>
          <w:numId w:val="1006"/>
        </w:numPr>
      </w:pPr>
      <w:r>
        <w:t xml:space="preserve">predictive-consequence interface;</w:t>
      </w:r>
    </w:p>
    <w:p>
      <w:pPr>
        <w:pStyle w:val="Compact"/>
        <w:numPr>
          <w:ilvl w:val="0"/>
          <w:numId w:val="1006"/>
        </w:numPr>
      </w:pPr>
      <w:r>
        <w:t xml:space="preserve">intervention/counterfactual interface when defined;</w:t>
      </w:r>
    </w:p>
    <w:p>
      <w:pPr>
        <w:pStyle w:val="Compact"/>
        <w:numPr>
          <w:ilvl w:val="0"/>
          <w:numId w:val="1006"/>
        </w:numPr>
      </w:pPr>
      <w:r>
        <w:t xml:space="preserve">temporal horizon and assumptions;</w:t>
      </w:r>
    </w:p>
    <w:p>
      <w:pPr>
        <w:pStyle w:val="Compact"/>
        <w:numPr>
          <w:ilvl w:val="0"/>
          <w:numId w:val="1006"/>
        </w:numPr>
      </w:pPr>
      <w:r>
        <w:t xml:space="preserve">testable implications and identification status;</w:t>
      </w:r>
    </w:p>
    <w:p>
      <w:pPr>
        <w:pStyle w:val="Compact"/>
        <w:numPr>
          <w:ilvl w:val="0"/>
          <w:numId w:val="1006"/>
        </w:numPr>
      </w:pPr>
      <w:r>
        <w:t xml:space="preserve">provenance DAG reference;</w:t>
      </w:r>
    </w:p>
    <w:p>
      <w:pPr>
        <w:pStyle w:val="Compact"/>
        <w:numPr>
          <w:ilvl w:val="0"/>
          <w:numId w:val="1006"/>
        </w:numPr>
      </w:pPr>
      <w:r>
        <w:t xml:space="preserve">generation/resource cost;</w:t>
      </w:r>
    </w:p>
    <w:p>
      <w:pPr>
        <w:pStyle w:val="Compact"/>
        <w:numPr>
          <w:ilvl w:val="0"/>
          <w:numId w:val="1006"/>
        </w:numPr>
      </w:pPr>
      <w:r>
        <w:t xml:space="preserve">proposal or prior metadata when those measures exist;</w:t>
      </w:r>
    </w:p>
    <w:p>
      <w:pPr>
        <w:pStyle w:val="Compact"/>
        <w:numPr>
          <w:ilvl w:val="0"/>
          <w:numId w:val="1006"/>
        </w:numPr>
      </w:pPr>
      <w:r>
        <w:t xml:space="preserve">equivalence-class metadata.</w:t>
      </w:r>
    </w:p>
    <w:p>
      <w:pPr>
        <w:pStyle w:val="FirstParagraph"/>
      </w:pPr>
      <w:r>
        <w:t xml:space="preserve">DHD does not export a DHD-level</w:t>
      </w:r>
      <w:r>
        <w:t xml:space="preserve"> </w:t>
      </w:r>
      <w:r>
        <w:t xml:space="preserve">“</w:t>
      </w:r>
      <w:r>
        <w:t xml:space="preserve">confidence</w:t>
      </w:r>
      <w:r>
        <w:t xml:space="preserve">”</w:t>
      </w:r>
      <w:r>
        <w:t xml:space="preserve"> </w:t>
      </w:r>
      <w:r>
        <w:t xml:space="preserve">score. A model may have internal uncertainty parameters, but those are properties of</w:t>
      </w:r>
      <w:r>
        <w:t xml:space="preserve"> </w:t>
      </w:r>
      <m:oMath>
        <m:r>
          <m:t>M</m:t>
        </m:r>
      </m:oMath>
      <w:r>
        <w:t xml:space="preserve">, not DHD belief.</w:t>
      </w:r>
    </w:p>
    <w:bookmarkEnd w:id="62"/>
    <w:bookmarkEnd w:id="63"/>
    <w:bookmarkStart w:id="69" w:name="validation-ablation-and-falsification"/>
    <w:p>
      <w:pPr>
        <w:pStyle w:val="Heading1"/>
        <w:keepNext/>
      </w:pPr>
      <w:r>
        <w:t xml:space="preserve">14. Validation, ablation, and falsification</w:t>
      </w:r>
    </w:p>
    <w:p>
      <w:pPr>
        <w:pStyle w:val="FirstParagraph"/>
      </w:pPr>
      <w:r>
        <w:t xml:space="preserve">The framework must be validated in worlds where the truth is known before it is evaluated on historical markets.</w:t>
      </w:r>
    </w:p>
    <w:bookmarkStart w:id="64" w:name="stage-1-synthetic-discovery"/>
    <w:p>
      <w:pPr>
        <w:pStyle w:val="Heading2"/>
        <w:keepNext/>
      </w:pPr>
      <w:r>
        <w:t xml:space="preserve">14.1 Stage 1: synthetic discovery</w:t>
      </w:r>
    </w:p>
    <w:p>
      <w:pPr>
        <w:pStyle w:val="FirstParagraph"/>
      </w:pPr>
      <w:r>
        <w:t xml:space="preserve">The initial suite contains at least:</w:t>
      </w:r>
    </w:p>
    <w:p>
      <w:pPr>
        <w:pStyle w:val="Compact"/>
        <w:numPr>
          <w:ilvl w:val="0"/>
          <w:numId w:val="1007"/>
        </w:numPr>
      </w:pPr>
      <w:r>
        <w:rPr>
          <w:b/>
          <w:bCs/>
        </w:rPr>
        <w:t xml:space="preserve">Regime-switching world:</w:t>
      </w:r>
      <w:r>
        <w:t xml:space="preserve"> </w:t>
      </w:r>
      <w:r>
        <w:t xml:space="preserve">a local baseline is initially correct, followed by a hidden structural transition.</w:t>
      </w:r>
    </w:p>
    <w:p>
      <w:pPr>
        <w:pStyle w:val="Compact"/>
        <w:numPr>
          <w:ilvl w:val="0"/>
          <w:numId w:val="1007"/>
        </w:numPr>
      </w:pPr>
      <w:r>
        <w:rPr>
          <w:b/>
          <w:bCs/>
        </w:rPr>
        <w:t xml:space="preserve">Causal-reversal world:</w:t>
      </w:r>
      <w:r>
        <w:t xml:space="preserve"> </w:t>
      </w:r>
      <m:oMath>
        <m:r>
          <m:t>X</m:t>
        </m:r>
        <m:r>
          <m:rPr>
            <m:sty m:val="p"/>
          </m:rPr>
          <m:t>→</m:t>
        </m:r>
        <m:r>
          <m:t>Y</m:t>
        </m:r>
      </m:oMath>
      <w:r>
        <w:t xml:space="preserve">,</w:t>
      </w:r>
      <w:r>
        <w:t xml:space="preserve"> </w:t>
      </w:r>
      <m:oMath>
        <m:r>
          <m:t>Y</m:t>
        </m:r>
        <m:r>
          <m:rPr>
            <m:sty m:val="p"/>
          </m:rPr>
          <m:t>→</m:t>
        </m:r>
        <m:r>
          <m:t>X</m:t>
        </m:r>
      </m:oMath>
      <w:r>
        <w:t xml:space="preserve">, and</w:t>
      </w:r>
      <w:r>
        <w:t xml:space="preserve"> </w:t>
      </w:r>
      <m:oMath>
        <m:r>
          <m:t>X</m:t>
        </m:r>
        <m:r>
          <m:rPr>
            <m:sty m:val="p"/>
          </m:rPr>
          <m:t>←</m:t>
        </m:r>
        <m:r>
          <m:t>Z</m:t>
        </m:r>
        <m:r>
          <m:rPr>
            <m:sty m:val="p"/>
          </m:rPr>
          <m:t>→</m:t>
        </m:r>
        <m:r>
          <m:t>Y</m:t>
        </m:r>
      </m:oMath>
      <w:r>
        <w:t xml:space="preserve"> </w:t>
      </w:r>
      <w:r>
        <w:t xml:space="preserve">alternatives are distinguishable under designed interventions.</w:t>
      </w:r>
    </w:p>
    <w:p>
      <w:pPr>
        <w:pStyle w:val="Compact"/>
        <w:numPr>
          <w:ilvl w:val="0"/>
          <w:numId w:val="1007"/>
        </w:numPr>
      </w:pPr>
      <w:r>
        <w:rPr>
          <w:b/>
          <w:bCs/>
        </w:rPr>
        <w:t xml:space="preserve">Observational-equivalence world:</w:t>
      </w:r>
      <w:r>
        <w:t xml:space="preserve"> </w:t>
      </w:r>
      <w:r>
        <w:t xml:space="preserve">models agree observationally but diverge under intervention.</w:t>
      </w:r>
    </w:p>
    <w:p>
      <w:pPr>
        <w:pStyle w:val="Compact"/>
        <w:numPr>
          <w:ilvl w:val="0"/>
          <w:numId w:val="1007"/>
        </w:numPr>
      </w:pPr>
      <w:r>
        <w:rPr>
          <w:b/>
          <w:bCs/>
        </w:rPr>
        <w:t xml:space="preserve">Rare-regime world:</w:t>
      </w:r>
      <w:r>
        <w:t xml:space="preserve"> </w:t>
      </w:r>
      <w:r>
        <w:t xml:space="preserve">a low-frequency but valid structural regime appears.</w:t>
      </w:r>
    </w:p>
    <w:p>
      <w:pPr>
        <w:pStyle w:val="Compact"/>
        <w:numPr>
          <w:ilvl w:val="0"/>
          <w:numId w:val="1007"/>
        </w:numPr>
      </w:pPr>
      <w:r>
        <w:rPr>
          <w:b/>
          <w:bCs/>
        </w:rPr>
        <w:t xml:space="preserve">Temporal-aliasing world:</w:t>
      </w:r>
      <w:r>
        <w:t xml:space="preserve"> </w:t>
      </w:r>
      <w:r>
        <w:t xml:space="preserve">similar correlations arise from distinct lag structures.</w:t>
      </w:r>
    </w:p>
    <w:p>
      <w:pPr>
        <w:pStyle w:val="Compact"/>
        <w:numPr>
          <w:ilvl w:val="0"/>
          <w:numId w:val="1007"/>
        </w:numPr>
      </w:pPr>
      <w:r>
        <w:rPr>
          <w:b/>
          <w:bCs/>
        </w:rPr>
        <w:t xml:space="preserve">Reflexive world:</w:t>
      </w:r>
      <w:r>
        <w:t xml:space="preserve"> </w:t>
      </w:r>
      <w:r>
        <w:t xml:space="preserve">participant belief/action feedback changes the data-generating process.</w:t>
      </w:r>
    </w:p>
    <w:p>
      <w:pPr>
        <w:pStyle w:val="Compact"/>
        <w:numPr>
          <w:ilvl w:val="0"/>
          <w:numId w:val="1007"/>
        </w:numPr>
      </w:pPr>
      <w:r>
        <w:rPr>
          <w:b/>
          <w:bCs/>
        </w:rPr>
        <w:t xml:space="preserve">Adversarial-contamination world:</w:t>
      </w:r>
      <w:r>
        <w:t xml:space="preserve"> </w:t>
      </w:r>
      <w:r>
        <w:t xml:space="preserve">observations are selectively corrupted.</w:t>
      </w:r>
    </w:p>
    <w:p>
      <w:pPr>
        <w:pStyle w:val="Compact"/>
        <w:numPr>
          <w:ilvl w:val="0"/>
          <w:numId w:val="1007"/>
        </w:numPr>
      </w:pPr>
      <w:r>
        <w:rPr>
          <w:b/>
          <w:bCs/>
        </w:rPr>
        <w:t xml:space="preserve">Model-class-misspecification world:</w:t>
      </w:r>
      <w:r>
        <w:t xml:space="preserve"> </w:t>
      </w:r>
      <w:r>
        <w:t xml:space="preserve">the true generator is outside the baseline family.</w:t>
      </w:r>
    </w:p>
    <w:p>
      <w:pPr>
        <w:pStyle w:val="Compact"/>
        <w:numPr>
          <w:ilvl w:val="0"/>
          <w:numId w:val="1007"/>
        </w:numPr>
      </w:pPr>
      <w:r>
        <w:rPr>
          <w:b/>
          <w:bCs/>
        </w:rPr>
        <w:t xml:space="preserve">Null world:</w:t>
      </w:r>
      <w:r>
        <w:t xml:space="preserve"> </w:t>
      </w:r>
      <w:r>
        <w:t xml:space="preserve">structural divergence confers no advantage.</w:t>
      </w:r>
    </w:p>
    <w:p>
      <w:pPr>
        <w:pStyle w:val="FirstParagraph"/>
      </w:pPr>
      <w:r>
        <w:t xml:space="preserve">The null world is mandatory. A framework that cannot fail under a world designed to contain no benefit is not being falsified.</w:t>
      </w:r>
    </w:p>
    <w:bookmarkEnd w:id="64"/>
    <w:bookmarkStart w:id="65" w:name="baselines"/>
    <w:p>
      <w:pPr>
        <w:pStyle w:val="Heading2"/>
        <w:keepNext/>
      </w:pPr>
      <w:r>
        <w:t xml:space="preserve">14.2 Baselines</w:t>
      </w:r>
    </w:p>
    <w:p>
      <w:pPr>
        <w:pStyle w:val="FirstParagraph"/>
      </w:pPr>
      <w:r>
        <w:t xml:space="preserve">Compute-matched comparisons include random valid hypothesis generation, Bayesian model averaging or stacking, SMC/IMM where applicable, ordinary novelty search, MAP-Elites or another archive search with the same model access, causal-discovery baselines, the same generators without PDC metacontrol, and an LLM/program generator without DHD archive logic.</w:t>
      </w:r>
    </w:p>
    <w:p>
      <w:pPr>
        <w:pStyle w:val="BodyText"/>
      </w:pPr>
      <w:r>
        <w:t xml:space="preserve">Budgets should be matched on model evaluations, simulation calls, memory, and wall-clock time where practical.</w:t>
      </w:r>
    </w:p>
    <w:bookmarkEnd w:id="65"/>
    <w:bookmarkStart w:id="66" w:name="discovery-time-metrics"/>
    <w:p>
      <w:pPr>
        <w:pStyle w:val="Heading2"/>
        <w:keepNext/>
      </w:pPr>
      <w:r>
        <w:t xml:space="preserve">14.3 Discovery-time metrics</w:t>
      </w:r>
    </w:p>
    <w:p>
      <w:pPr>
        <w:pStyle w:val="FirstParagraph"/>
      </w:pPr>
      <w:r>
        <w:t xml:space="preserve">Raw generation time rewards systems that enumerate everything. DHD therefore records separate timestamps:</w:t>
      </w:r>
    </w:p>
    <w:p>
      <w:pPr>
        <w:pStyle w:val="BodyText"/>
      </w:pPr>
      <m:oMathPara>
        <m:oMathParaPr>
          <m:jc m:val="center"/>
        </m:oMathParaPr>
        <m:oMath>
          <m:sSub>
            <m:e>
              <m:r>
                <m:t>t</m:t>
              </m:r>
            </m:e>
            <m:sub>
              <m:r>
                <m:rPr>
                  <m:sty m:val="p"/>
                </m:rPr>
                <m:t>g</m:t>
              </m:r>
              <m:r>
                <m:rPr>
                  <m:sty m:val="p"/>
                </m:rPr>
                <m:t>e</m:t>
              </m:r>
              <m:r>
                <m:rPr>
                  <m:sty m:val="p"/>
                </m:rPr>
                <m:t>n</m:t>
              </m:r>
            </m:sub>
          </m:sSub>
          <m:r>
            <m:rPr>
              <m:sty m:val="p"/>
            </m:rPr>
            <m:t>,</m:t>
          </m:r>
          <m:r>
            <m:t> </m:t>
          </m:r>
          <m:sSub>
            <m:e>
              <m:r>
                <m:t>t</m:t>
              </m:r>
            </m:e>
            <m:sub>
              <m:r>
                <m:rPr>
                  <m:sty m:val="p"/>
                </m:rPr>
                <m:t>r</m:t>
              </m:r>
              <m:r>
                <m:rPr>
                  <m:sty m:val="p"/>
                </m:rPr>
                <m:t>e</m:t>
              </m:r>
              <m:r>
                <m:rPr>
                  <m:sty m:val="p"/>
                </m:rPr>
                <m:t>g</m:t>
              </m:r>
            </m:sub>
          </m:sSub>
          <m:r>
            <m:rPr>
              <m:sty m:val="p"/>
            </m:rPr>
            <m:t>,</m:t>
          </m:r>
          <m:r>
            <m:t> </m:t>
          </m:r>
          <m:sSub>
            <m:e>
              <m:r>
                <m:t>t</m:t>
              </m:r>
            </m:e>
            <m:sub>
              <m:r>
                <m:rPr>
                  <m:sty m:val="p"/>
                </m:rPr>
                <m:t>s</m:t>
              </m:r>
              <m:r>
                <m:rPr>
                  <m:sty m:val="p"/>
                </m:rPr>
                <m:t>u</m:t>
              </m:r>
              <m:r>
                <m:rPr>
                  <m:sty m:val="p"/>
                </m:rPr>
                <m:t>p</m:t>
              </m:r>
            </m:sub>
          </m:sSub>
          <m:r>
            <m:rPr>
              <m:sty m:val="p"/>
            </m:rPr>
            <m:t>,</m:t>
          </m:r>
          <m:r>
            <m:t> </m:t>
          </m:r>
          <m:sSub>
            <m:e>
              <m:r>
                <m:t>t</m:t>
              </m:r>
            </m:e>
            <m:sub>
              <m:r>
                <m:rPr>
                  <m:sty m:val="p"/>
                </m:rPr>
                <m:t>p</m:t>
              </m:r>
              <m:r>
                <m:rPr>
                  <m:sty m:val="p"/>
                </m:rPr>
                <m:t>a</m:t>
              </m:r>
              <m:r>
                <m:rPr>
                  <m:sty m:val="p"/>
                </m:rPr>
                <m:t>s</m:t>
              </m:r>
              <m:r>
                <m:rPr>
                  <m:sty m:val="p"/>
                </m:rPr>
                <m:t>s</m:t>
              </m:r>
            </m:sub>
          </m:sSub>
          <m:r>
            <m:rPr>
              <m:sty m:val="p"/>
            </m:rPr>
            <m:t>,</m:t>
          </m:r>
          <m:r>
            <m:t> </m:t>
          </m:r>
          <m:sSub>
            <m:e>
              <m:r>
                <m:t>t</m:t>
              </m:r>
            </m:e>
            <m:sub>
              <m:r>
                <m:rPr>
                  <m:sty m:val="p"/>
                </m:rPr>
                <m:t>e</m:t>
              </m:r>
              <m:r>
                <m:rPr>
                  <m:sty m:val="p"/>
                </m:rPr>
                <m:t>v</m:t>
              </m:r>
              <m:r>
                <m:rPr>
                  <m:sty m:val="p"/>
                </m:rPr>
                <m:t>e</m:t>
              </m:r>
              <m:r>
                <m:rPr>
                  <m:sty m:val="p"/>
                </m:rPr>
                <m:t>n</m:t>
              </m:r>
              <m:r>
                <m:rPr>
                  <m:sty m:val="p"/>
                </m:rPr>
                <m:t>t</m:t>
              </m:r>
            </m:sub>
          </m:sSub>
          <m:r>
            <m:rPr>
              <m:sty m:val="p"/>
            </m:rPr>
            <m:t>.</m:t>
          </m:r>
        </m:oMath>
      </m:oMathPara>
    </w:p>
    <w:p>
      <w:pPr>
        <w:pStyle w:val="FirstParagraph"/>
      </w:pPr>
      <w:r>
        <w:t xml:space="preserve">These denote generation, immutable prospective registration, first supporting evidence, adjudication pass, and event occurrence. The primary lead-time metric is validated lead</w:t>
      </w:r>
    </w:p>
    <w:p>
      <w:pPr>
        <w:pStyle w:val="BodyText"/>
      </w:pPr>
      <m:oMathPara>
        <m:oMathParaPr>
          <m:jc m:val="center"/>
        </m:oMathParaPr>
        <m:oMath>
          <m:r>
            <m:t>Δ</m:t>
          </m:r>
          <m:sSub>
            <m:e>
              <m:r>
                <m:t>t</m:t>
              </m:r>
            </m:e>
            <m:sub>
              <m:r>
                <m:rPr>
                  <m:sty m:val="p"/>
                </m:rPr>
                <m:t>v</m:t>
              </m:r>
              <m:r>
                <m:rPr>
                  <m:sty m:val="p"/>
                </m:rPr>
                <m:t>a</m:t>
              </m:r>
              <m:r>
                <m:rPr>
                  <m:sty m:val="p"/>
                </m:rPr>
                <m:t>l</m:t>
              </m:r>
              <m:r>
                <m:rPr>
                  <m:sty m:val="p"/>
                </m:rPr>
                <m:t>i</m:t>
              </m:r>
              <m:r>
                <m:rPr>
                  <m:sty m:val="p"/>
                </m:rPr>
                <m:t>d</m:t>
              </m:r>
            </m:sub>
          </m:sSub>
          <m:r>
            <m:rPr>
              <m:sty m:val="p"/>
            </m:rPr>
            <m:t>=</m:t>
          </m:r>
          <m:sSubSup>
            <m:e>
              <m:r>
                <m:t>t</m:t>
              </m:r>
            </m:e>
            <m:sub>
              <m:r>
                <m:rPr>
                  <m:sty m:val="p"/>
                </m:rPr>
                <m:t>p</m:t>
              </m:r>
              <m:r>
                <m:rPr>
                  <m:sty m:val="p"/>
                </m:rPr>
                <m:t>a</m:t>
              </m:r>
              <m:r>
                <m:rPr>
                  <m:sty m:val="p"/>
                </m:rPr>
                <m:t>s</m:t>
              </m:r>
              <m:r>
                <m:rPr>
                  <m:sty m:val="p"/>
                </m:rPr>
                <m:t>s</m:t>
              </m:r>
            </m:sub>
            <m:sup>
              <m:r>
                <m:rPr>
                  <m:sty m:val="p"/>
                </m:rPr>
                <m:t>b</m:t>
              </m:r>
              <m:r>
                <m:rPr>
                  <m:sty m:val="p"/>
                </m:rPr>
                <m:t>a</m:t>
              </m:r>
              <m:r>
                <m:rPr>
                  <m:sty m:val="p"/>
                </m:rPr>
                <m:t>s</m:t>
              </m:r>
              <m:r>
                <m:rPr>
                  <m:sty m:val="p"/>
                </m:rPr>
                <m:t>e</m:t>
              </m:r>
              <m:r>
                <m:rPr>
                  <m:sty m:val="p"/>
                </m:rPr>
                <m:t>l</m:t>
              </m:r>
              <m:r>
                <m:rPr>
                  <m:sty m:val="p"/>
                </m:rPr>
                <m:t>i</m:t>
              </m:r>
              <m:r>
                <m:rPr>
                  <m:sty m:val="p"/>
                </m:rPr>
                <m:t>n</m:t>
              </m:r>
              <m:r>
                <m:rPr>
                  <m:sty m:val="p"/>
                </m:rPr>
                <m:t>e</m:t>
              </m:r>
            </m:sup>
          </m:sSubSup>
          <m:r>
            <m:rPr>
              <m:sty m:val="p"/>
            </m:rPr>
            <m:t>−</m:t>
          </m:r>
          <m:sSubSup>
            <m:e>
              <m:r>
                <m:t>t</m:t>
              </m:r>
            </m:e>
            <m:sub>
              <m:r>
                <m:rPr>
                  <m:sty m:val="p"/>
                </m:rPr>
                <m:t>p</m:t>
              </m:r>
              <m:r>
                <m:rPr>
                  <m:sty m:val="p"/>
                </m:rPr>
                <m:t>a</m:t>
              </m:r>
              <m:r>
                <m:rPr>
                  <m:sty m:val="p"/>
                </m:rPr>
                <m:t>s</m:t>
              </m:r>
              <m:r>
                <m:rPr>
                  <m:sty m:val="p"/>
                </m:rPr>
                <m:t>s</m:t>
              </m:r>
            </m:sub>
            <m:sup>
              <m:r>
                <m:rPr>
                  <m:sty m:val="p"/>
                </m:rPr>
                <m:t>D</m:t>
              </m:r>
              <m:r>
                <m:rPr>
                  <m:sty m:val="p"/>
                </m:rPr>
                <m:t>H</m:t>
              </m:r>
              <m:r>
                <m:rPr>
                  <m:sty m:val="p"/>
                </m:rPr>
                <m:t>D</m:t>
              </m:r>
            </m:sup>
          </m:sSubSup>
          <m:r>
            <m:rPr>
              <m:sty m:val="p"/>
            </m:rPr>
            <m:t>.</m:t>
          </m:r>
        </m:oMath>
      </m:oMathPara>
    </w:p>
    <w:p>
      <w:pPr>
        <w:pStyle w:val="FirstParagraph"/>
      </w:pPr>
      <w:r>
        <w:t xml:space="preserve">Generation lead is reported only as a secondary metric for hypotheses that later pass pre-registered adjudication. Precision/recall over generated candidates, false-discovery burden, and compute cost must be reported alongside lead time. A system that emits every possible model at</w:t>
      </w:r>
      <w:r>
        <w:t xml:space="preserve"> </w:t>
      </w:r>
      <m:oMath>
        <m:r>
          <m:t>t</m:t>
        </m:r>
        <m:r>
          <m:rPr>
            <m:sty m:val="p"/>
          </m:rPr>
          <m:t>=</m:t>
        </m:r>
        <m:r>
          <m:t>0</m:t>
        </m:r>
      </m:oMath>
      <w:r>
        <w:t xml:space="preserve"> </w:t>
      </w:r>
      <w:r>
        <w:t xml:space="preserve">should therefore perform poorly on efficiency and multiplicity even if one emitted hypothesis happens to be correct.</w:t>
      </w:r>
    </w:p>
    <w:bookmarkEnd w:id="66"/>
    <w:bookmarkStart w:id="67" w:name="ablations"/>
    <w:p>
      <w:pPr>
        <w:pStyle w:val="Heading2"/>
        <w:keepNext/>
      </w:pPr>
      <w:r>
        <w:t xml:space="preserve">14.4 Ablations</w:t>
      </w:r>
    </w:p>
    <w:p>
      <w:pPr>
        <w:pStyle w:val="FirstParagraph"/>
      </w:pPr>
      <w:r>
        <w:t xml:space="preserve">Required ablations include removing each generator class, forcing local-only mutation, forcing maximal structural mutation, disabling equivalence compression, holding population size fixed while varying diversity pressure, holding diversity approximately fixed while varying population size, replacing DHD generation with matched-compute random valid search, and removing PDC metacontrol while retaining the same generators.</w:t>
      </w:r>
    </w:p>
    <w:p>
      <w:pPr>
        <w:pStyle w:val="BodyText"/>
      </w:pPr>
      <w:r>
        <w:t xml:space="preserve">The two crucial experiments are:</w:t>
      </w:r>
    </w:p>
    <w:p>
      <w:pPr>
        <w:pStyle w:val="BodyText"/>
      </w:pPr>
      <m:oMathPara>
        <m:oMathParaPr>
          <m:jc m:val="center"/>
        </m:oMathParaPr>
        <m:oMath>
          <m:r>
            <m:t>N</m:t>
          </m:r>
          <m:r>
            <m:t> </m:t>
          </m:r>
          <m:r>
            <m:rPr>
              <m:nor/>
              <m:sty m:val="p"/>
            </m:rPr>
            <m:t>fixed</m:t>
          </m:r>
          <m:r>
            <m:rPr>
              <m:sty m:val="p"/>
            </m:rPr>
            <m:t>,</m:t>
          </m:r>
          <m:r>
            <m:t> </m:t>
          </m:r>
          <m:r>
            <m:rPr>
              <m:nor/>
              <m:sty m:val="p"/>
            </m:rPr>
            <m:t>vary diversity pressure</m:t>
          </m:r>
          <m:r>
            <m:rPr>
              <m:sty m:val="p"/>
            </m:rPr>
            <m:t>,</m:t>
          </m:r>
        </m:oMath>
      </m:oMathPara>
    </w:p>
    <w:p>
      <w:pPr>
        <w:pStyle w:val="FirstParagraph"/>
      </w:pPr>
      <w:r>
        <w:t xml:space="preserve">and</w:t>
      </w:r>
    </w:p>
    <w:p>
      <w:pPr>
        <w:pStyle w:val="BodyText"/>
      </w:pPr>
      <m:oMathPara>
        <m:oMathParaPr>
          <m:jc m:val="center"/>
        </m:oMathParaPr>
        <m:oMath>
          <m:r>
            <m:rPr>
              <m:nor/>
              <m:sty m:val="p"/>
            </m:rPr>
            <m:t>diversity approximately fixed</m:t>
          </m:r>
          <m:r>
            <m:rPr>
              <m:sty m:val="p"/>
            </m:rPr>
            <m:t>,</m:t>
          </m:r>
          <m:r>
            <m:t> </m:t>
          </m:r>
          <m:r>
            <m:rPr>
              <m:nor/>
              <m:sty m:val="p"/>
            </m:rPr>
            <m:t>vary </m:t>
          </m:r>
          <m:r>
            <m:t>N</m:t>
          </m:r>
          <m:r>
            <m:rPr>
              <m:sty m:val="p"/>
            </m:rPr>
            <m:t>.</m:t>
          </m:r>
        </m:oMath>
      </m:oMathPara>
    </w:p>
    <w:p>
      <w:pPr>
        <w:pStyle w:val="FirstParagraph"/>
      </w:pPr>
      <w:r>
        <w:t xml:space="preserve">If performance follows population size but not structural diversity, the central DHD claim is weakened.</w:t>
      </w:r>
    </w:p>
    <w:bookmarkEnd w:id="67"/>
    <w:bookmarkStart w:id="68" w:name="kill-criteria"/>
    <w:p>
      <w:pPr>
        <w:pStyle w:val="Heading2"/>
        <w:keepNext/>
      </w:pPr>
      <w:r>
        <w:t xml:space="preserve">14.5 Kill criteria</w:t>
      </w:r>
    </w:p>
    <w:p>
      <w:pPr>
        <w:pStyle w:val="FirstParagraph"/>
      </w:pPr>
      <w:r>
        <w:t xml:space="preserve">DHD should be reduced to an engineering subsystem rather than maintained as an independent scientific framework if any of the following persist across appropriately powered tests:</w:t>
      </w:r>
    </w:p>
    <w:p>
      <w:pPr>
        <w:pStyle w:val="Compact"/>
        <w:numPr>
          <w:ilvl w:val="0"/>
          <w:numId w:val="1008"/>
        </w:numPr>
      </w:pPr>
      <w:r>
        <w:t xml:space="preserve">matched-compute random valid search matches DHD on hypothesis recall and validated discovery lead;</w:t>
      </w:r>
    </w:p>
    <w:p>
      <w:pPr>
        <w:pStyle w:val="Compact"/>
        <w:numPr>
          <w:ilvl w:val="0"/>
          <w:numId w:val="1008"/>
        </w:numPr>
      </w:pPr>
      <w:r>
        <w:t xml:space="preserve">any apparent advantage vanishes when population size and model-family access are controlled;</w:t>
      </w:r>
    </w:p>
    <w:p>
      <w:pPr>
        <w:pStyle w:val="Compact"/>
        <w:numPr>
          <w:ilvl w:val="0"/>
          <w:numId w:val="1008"/>
        </w:numPr>
      </w:pPr>
      <w:r>
        <w:t xml:space="preserve">benefits vanish under an appropriate adaptive multiple-testing procedure;</w:t>
      </w:r>
    </w:p>
    <w:p>
      <w:pPr>
        <w:pStyle w:val="Compact"/>
        <w:numPr>
          <w:ilvl w:val="0"/>
          <w:numId w:val="1008"/>
        </w:numPr>
      </w:pPr>
      <w:r>
        <w:t xml:space="preserve">measured novelty is mostly syntactic rather than predictive, causal, temporal, or interventional;</w:t>
      </w:r>
    </w:p>
    <w:p>
      <w:pPr>
        <w:pStyle w:val="Compact"/>
        <w:numPr>
          <w:ilvl w:val="0"/>
          <w:numId w:val="1008"/>
        </w:numPr>
      </w:pPr>
      <w:r>
        <w:t xml:space="preserve">archive metrics fail to predict useful later discovery;</w:t>
      </w:r>
    </w:p>
    <w:p>
      <w:pPr>
        <w:pStyle w:val="Compact"/>
        <w:numPr>
          <w:ilvl w:val="0"/>
          <w:numId w:val="1008"/>
        </w:numPr>
      </w:pPr>
      <w:r>
        <w:t xml:space="preserve">one generator dominates universally and the remaining architecture contributes no measurable value;</w:t>
      </w:r>
    </w:p>
    <w:p>
      <w:pPr>
        <w:pStyle w:val="Compact"/>
        <w:numPr>
          <w:ilvl w:val="0"/>
          <w:numId w:val="1008"/>
        </w:numPr>
      </w:pPr>
      <w:r>
        <w:t xml:space="preserve">PDC metacontrol adds no advantage over fixed or random operator allocation;</w:t>
      </w:r>
    </w:p>
    <w:p>
      <w:pPr>
        <w:pStyle w:val="Compact"/>
        <w:numPr>
          <w:ilvl w:val="0"/>
          <w:numId w:val="1008"/>
        </w:numPr>
      </w:pPr>
      <w:r>
        <w:t xml:space="preserve">provenance cannot reproduce claimed early hypotheses;</w:t>
      </w:r>
    </w:p>
    <w:p>
      <w:pPr>
        <w:pStyle w:val="Compact"/>
        <w:numPr>
          <w:ilvl w:val="0"/>
          <w:numId w:val="1008"/>
        </w:numPr>
      </w:pPr>
      <w:r>
        <w:t xml:space="preserve">causal/reflexive generators fail in synthetic environments where those structures are ground truth;</w:t>
      </w:r>
    </w:p>
    <w:p>
      <w:pPr>
        <w:pStyle w:val="Compact"/>
        <w:numPr>
          <w:ilvl w:val="0"/>
          <w:numId w:val="1008"/>
        </w:numPr>
      </w:pPr>
      <w:r>
        <w:t xml:space="preserve">compute, memory, or latency overhead exceeds the value of any validated discovery advantage.</w:t>
      </w:r>
    </w:p>
    <w:p>
      <w:pPr>
        <w:pStyle w:val="FirstParagraph"/>
      </w:pPr>
      <w:r>
        <w:t xml:space="preserve">The Round-2 research packet contained one draft kill criterion based on</w:t>
      </w:r>
      <w:r>
        <w:t xml:space="preserve"> </w:t>
      </w:r>
      <w:r>
        <w:t xml:space="preserve">“</w:t>
      </w:r>
      <w:r>
        <w:t xml:space="preserve">lineage-root multiplicity correction,</w:t>
      </w:r>
      <w:r>
        <w:t xml:space="preserve">”</w:t>
      </w:r>
      <w:r>
        <w:t xml:space="preserve"> </w:t>
      </w:r>
      <w:r>
        <w:t xml:space="preserve">while the same theorem audit rejected lineage-root counting as a valid multiplicity procedure. This specification resolves the inconsistency in favor of the theorem audit: the requirement is a statistically valid adaptive multiple-testing procedure, not root counting.</w:t>
      </w:r>
    </w:p>
    <w:bookmarkEnd w:id="68"/>
    <w:bookmarkEnd w:id="69"/>
    <w:bookmarkStart w:id="70" w:name="formal-status-of-major-claims"/>
    <w:p>
      <w:pPr>
        <w:pStyle w:val="Heading1"/>
        <w:keepNext/>
      </w:pPr>
      <w:r>
        <w:t xml:space="preserve">15. Formal status of major claims</w:t>
      </w:r>
    </w:p>
    <w:p>
      <w:pPr>
        <w:pStyle w:val="FirstParagraph"/>
      </w:pPr>
      <w:r>
        <w:t xml:space="preserve">The following table separates mathematics from design choices.</w:t>
      </w:r>
    </w:p>
    <w:tbl>
      <w:tblPr>
        <w:tblStyle w:val="TableGrid"/>
        <w:tblW w:type="pct" w:w="5000"/>
        <w:jc w:val="center"/>
        <w:tblLayout w:type="fixed"/>
        <w:tblLook w:firstRow="1" w:lastRow="0" w:firstColumn="0" w:lastColumn="0" w:noHBand="0" w:noVBand="0" w:val="0020"/>
      </w:tblPr>
      <w:tblGrid>
        <w:gridCol w:w="3960"/>
        <w:gridCol w:w="3960"/>
      </w:tblGrid>
      <w:tr>
        <w:trPr>
          <w:tblHeader w:val="true"/>
        </w:trPr>
        <w:tc>
          <w:tcPr>
            <w:tcW w:type="dxa" w:w="2448"/>
            <w:vAlign w:val="center"/>
            <w:shd w:fill="EAF1F8"/>
          </w:tcPr>
          <w:p>
            <w:pPr>
              <w:spacing w:before="0" w:after="0" w:line="240" w:lineRule="auto"/>
            </w:pPr>
            <w:r>
              <w:rPr>
                <w:rFonts w:ascii="Times New Roman" w:hAnsi="Times New Roman"/>
                <w:b/>
                <w:sz w:val="17"/>
              </w:rPr>
              <w:t>Statement</w:t>
            </w:r>
          </w:p>
        </w:tc>
        <w:tc>
          <w:tcPr>
            <w:tcW w:type="dxa" w:w="7343"/>
            <w:vAlign w:val="center"/>
            <w:shd w:fill="EAF1F8"/>
          </w:tcPr>
          <w:p>
            <w:pPr>
              <w:spacing w:before="0" w:after="0" w:line="240" w:lineRule="auto"/>
            </w:pPr>
            <w:r>
              <w:rPr>
                <w:rFonts w:ascii="Times New Roman" w:hAnsi="Times New Roman"/>
                <w:b/>
                <w:sz w:val="17"/>
              </w:rPr>
              <w:t>Status</w:t>
            </w:r>
          </w:p>
        </w:tc>
      </w:tr>
      <w:tr>
        <w:tc>
          <w:tcPr>
            <w:tcW w:type="dxa" w:w="2448"/>
            <w:vAlign w:val="center"/>
          </w:tcPr>
          <w:p>
            <w:pPr>
              <w:spacing w:before="0" w:after="0" w:line="240" w:lineRule="auto"/>
            </w:pPr>
            <w:r>
              <w:rPr>
                <w:rFonts w:ascii="Times New Roman" w:hAnsi="Times New Roman"/>
                <w:b w:val="0"/>
                <w:sz w:val="17"/>
              </w:rPr>
              <w:t>typed coproduct H = coproduct_k H_k</w:t>
            </w:r>
          </w:p>
        </w:tc>
        <w:tc>
          <w:tcPr>
            <w:tcW w:type="dxa" w:w="7343"/>
            <w:vAlign w:val="center"/>
          </w:tcPr>
          <w:p>
            <w:pPr>
              <w:spacing w:before="0" w:after="0" w:line="240" w:lineRule="auto"/>
            </w:pPr>
            <w:r>
              <w:rPr>
                <w:rFonts w:ascii="Times New Roman" w:hAnsi="Times New Roman"/>
                <w:b w:val="0"/>
                <w:sz w:val="17"/>
              </w:rPr>
              <w:t>definition / canonical candidate</w:t>
            </w:r>
          </w:p>
        </w:tc>
      </w:tr>
      <w:tr>
        <w:tc>
          <w:tcPr>
            <w:tcW w:type="dxa" w:w="2448"/>
            <w:vAlign w:val="center"/>
          </w:tcPr>
          <w:p>
            <w:pPr>
              <w:spacing w:before="0" w:after="0" w:line="240" w:lineRule="auto"/>
            </w:pPr>
            <w:r>
              <w:rPr>
                <w:rFonts w:ascii="Times New Roman" w:hAnsi="Times New Roman"/>
                <w:b w:val="0"/>
                <w:sz w:val="17"/>
              </w:rPr>
              <w:t>multi-view comparison rather than universal scalar metric</w:t>
            </w:r>
          </w:p>
        </w:tc>
        <w:tc>
          <w:tcPr>
            <w:tcW w:type="dxa" w:w="7343"/>
            <w:vAlign w:val="center"/>
          </w:tcPr>
          <w:p>
            <w:pPr>
              <w:spacing w:before="0" w:after="0" w:line="240" w:lineRule="auto"/>
            </w:pPr>
            <w:r>
              <w:rPr>
                <w:rFonts w:ascii="Times New Roman" w:hAnsi="Times New Roman"/>
                <w:b w:val="0"/>
                <w:sz w:val="17"/>
              </w:rPr>
              <w:t>design theorem-result of audit; canonical architecture</w:t>
            </w:r>
          </w:p>
        </w:tc>
      </w:tr>
      <w:tr>
        <w:tc>
          <w:tcPr>
            <w:tcW w:type="dxa" w:w="2448"/>
            <w:vAlign w:val="center"/>
          </w:tcPr>
          <w:p>
            <w:pPr>
              <w:spacing w:before="0" w:after="0" w:line="240" w:lineRule="auto"/>
            </w:pPr>
            <w:r>
              <w:rPr>
                <w:rFonts w:ascii="Times New Roman" w:hAnsi="Times New Roman"/>
                <w:b w:val="0"/>
                <w:sz w:val="17"/>
              </w:rPr>
              <w:t>generator as typed partial stochastic map</w:t>
            </w:r>
          </w:p>
        </w:tc>
        <w:tc>
          <w:tcPr>
            <w:tcW w:type="dxa" w:w="7343"/>
            <w:vAlign w:val="center"/>
          </w:tcPr>
          <w:p>
            <w:pPr>
              <w:spacing w:before="0" w:after="0" w:line="240" w:lineRule="auto"/>
            </w:pPr>
            <w:r>
              <w:rPr>
                <w:rFonts w:ascii="Times New Roman" w:hAnsi="Times New Roman"/>
                <w:b w:val="0"/>
                <w:sz w:val="17"/>
              </w:rPr>
              <w:t>definition</w:t>
            </w:r>
          </w:p>
        </w:tc>
      </w:tr>
      <w:tr>
        <w:tc>
          <w:tcPr>
            <w:tcW w:type="dxa" w:w="2448"/>
            <w:vAlign w:val="center"/>
          </w:tcPr>
          <w:p>
            <w:pPr>
              <w:spacing w:before="0" w:after="0" w:line="240" w:lineRule="auto"/>
            </w:pPr>
            <w:r>
              <w:rPr>
                <w:rFonts w:ascii="Times New Roman" w:hAnsi="Times New Roman"/>
                <w:b w:val="0"/>
                <w:sz w:val="17"/>
              </w:rPr>
              <w:t>operator-path dependence</w:t>
            </w:r>
          </w:p>
        </w:tc>
        <w:tc>
          <w:tcPr>
            <w:tcW w:type="dxa" w:w="7343"/>
            <w:vAlign w:val="center"/>
          </w:tcPr>
          <w:p>
            <w:pPr>
              <w:spacing w:before="0" w:after="0" w:line="240" w:lineRule="auto"/>
            </w:pPr>
            <w:r>
              <w:rPr>
                <w:rFonts w:ascii="Times New Roman" w:hAnsi="Times New Roman"/>
                <w:b w:val="0"/>
                <w:sz w:val="17"/>
              </w:rPr>
              <w:t>mathematical possibility; empirically testable relevance</w:t>
            </w:r>
          </w:p>
        </w:tc>
      </w:tr>
      <w:tr>
        <w:tc>
          <w:tcPr>
            <w:tcW w:type="dxa" w:w="2448"/>
            <w:vAlign w:val="center"/>
          </w:tcPr>
          <w:p>
            <w:pPr>
              <w:spacing w:before="0" w:after="0" w:line="240" w:lineRule="auto"/>
            </w:pPr>
            <w:r>
              <w:rPr>
                <w:rFonts w:ascii="Times New Roman" w:hAnsi="Times New Roman"/>
                <w:b w:val="0"/>
                <w:sz w:val="17"/>
              </w:rPr>
              <w:t>epsilon-packing archive bound</w:t>
            </w:r>
          </w:p>
        </w:tc>
        <w:tc>
          <w:tcPr>
            <w:tcW w:type="dxa" w:w="7343"/>
            <w:vAlign w:val="center"/>
          </w:tcPr>
          <w:p>
            <w:pPr>
              <w:spacing w:before="0" w:after="0" w:line="240" w:lineRule="auto"/>
            </w:pPr>
            <w:r>
              <w:rPr>
                <w:rFonts w:ascii="Times New Roman" w:hAnsi="Times New Roman"/>
                <w:b w:val="0"/>
                <w:sz w:val="17"/>
              </w:rPr>
              <w:t>proposition under total boundedness</w:t>
            </w:r>
          </w:p>
        </w:tc>
      </w:tr>
      <w:tr>
        <w:tc>
          <w:tcPr>
            <w:tcW w:type="dxa" w:w="2448"/>
            <w:vAlign w:val="center"/>
          </w:tcPr>
          <w:p>
            <w:pPr>
              <w:spacing w:before="0" w:after="0" w:line="240" w:lineRule="auto"/>
            </w:pPr>
            <w:r>
              <w:rPr>
                <w:rFonts w:ascii="Times New Roman" w:hAnsi="Times New Roman"/>
                <w:b w:val="0"/>
                <w:sz w:val="17"/>
              </w:rPr>
              <w:t>greedy (1 - 1/e) for monotone submodular cardinality selection</w:t>
            </w:r>
          </w:p>
        </w:tc>
        <w:tc>
          <w:tcPr>
            <w:tcW w:type="dxa" w:w="7343"/>
            <w:vAlign w:val="center"/>
          </w:tcPr>
          <w:p>
            <w:pPr>
              <w:spacing w:before="0" w:after="0" w:line="240" w:lineRule="auto"/>
            </w:pPr>
            <w:r>
              <w:rPr>
                <w:rFonts w:ascii="Times New Roman" w:hAnsi="Times New Roman"/>
                <w:b w:val="0"/>
                <w:sz w:val="17"/>
              </w:rPr>
              <w:t>imported theorem [10]</w:t>
            </w:r>
          </w:p>
        </w:tc>
      </w:tr>
      <w:tr>
        <w:tc>
          <w:tcPr>
            <w:tcW w:type="dxa" w:w="2448"/>
            <w:vAlign w:val="center"/>
          </w:tcPr>
          <w:p>
            <w:pPr>
              <w:spacing w:before="0" w:after="0" w:line="240" w:lineRule="auto"/>
            </w:pPr>
            <w:r>
              <w:rPr>
                <w:rFonts w:ascii="Times New Roman" w:hAnsi="Times New Roman"/>
                <w:b w:val="0"/>
                <w:sz w:val="17"/>
              </w:rPr>
              <w:t>DPP determinant encourages feature-space diversity</w:t>
            </w:r>
          </w:p>
        </w:tc>
        <w:tc>
          <w:tcPr>
            <w:tcW w:type="dxa" w:w="7343"/>
            <w:vAlign w:val="center"/>
          </w:tcPr>
          <w:p>
            <w:pPr>
              <w:spacing w:before="0" w:after="0" w:line="240" w:lineRule="auto"/>
            </w:pPr>
            <w:r>
              <w:rPr>
                <w:rFonts w:ascii="Times New Roman" w:hAnsi="Times New Roman"/>
                <w:b w:val="0"/>
                <w:sz w:val="17"/>
              </w:rPr>
              <w:t>established under PSD kernel [9]</w:t>
            </w:r>
          </w:p>
        </w:tc>
      </w:tr>
      <w:tr>
        <w:tc>
          <w:tcPr>
            <w:tcW w:type="dxa" w:w="2448"/>
            <w:vAlign w:val="center"/>
          </w:tcPr>
          <w:p>
            <w:pPr>
              <w:spacing w:before="0" w:after="0" w:line="240" w:lineRule="auto"/>
            </w:pPr>
            <w:r>
              <w:rPr>
                <w:rFonts w:ascii="Times New Roman" w:hAnsi="Times New Roman"/>
                <w:b w:val="0"/>
                <w:sz w:val="17"/>
              </w:rPr>
              <w:t>DPP automatically compresses observational equivalence</w:t>
            </w:r>
          </w:p>
        </w:tc>
        <w:tc>
          <w:tcPr>
            <w:tcW w:type="dxa" w:w="7343"/>
            <w:vAlign w:val="center"/>
          </w:tcPr>
          <w:p>
            <w:pPr>
              <w:spacing w:before="0" w:after="0" w:line="240" w:lineRule="auto"/>
            </w:pPr>
            <w:r>
              <w:rPr>
                <w:rFonts w:ascii="Times New Roman" w:hAnsi="Times New Roman"/>
                <w:b w:val="0"/>
                <w:sz w:val="17"/>
              </w:rPr>
              <w:t>false in general</w:t>
            </w:r>
          </w:p>
        </w:tc>
      </w:tr>
      <w:tr>
        <w:tc>
          <w:tcPr>
            <w:tcW w:type="dxa" w:w="2448"/>
            <w:vAlign w:val="center"/>
          </w:tcPr>
          <w:p>
            <w:pPr>
              <w:spacing w:before="0" w:after="0" w:line="240" w:lineRule="auto"/>
            </w:pPr>
            <w:r>
              <w:rPr>
                <w:rFonts w:ascii="Times New Roman" w:hAnsi="Times New Roman"/>
                <w:b w:val="0"/>
                <w:sz w:val="17"/>
              </w:rPr>
              <w:t>global DHD ergodicity</w:t>
            </w:r>
          </w:p>
        </w:tc>
        <w:tc>
          <w:tcPr>
            <w:tcW w:type="dxa" w:w="7343"/>
            <w:vAlign w:val="center"/>
          </w:tcPr>
          <w:p>
            <w:pPr>
              <w:spacing w:before="0" w:after="0" w:line="240" w:lineRule="auto"/>
            </w:pPr>
            <w:r>
              <w:rPr>
                <w:rFonts w:ascii="Times New Roman" w:hAnsi="Times New Roman"/>
                <w:b w:val="0"/>
                <w:sz w:val="17"/>
              </w:rPr>
              <w:t>open conjecture; not required</w:t>
            </w:r>
          </w:p>
        </w:tc>
      </w:tr>
      <w:tr>
        <w:tc>
          <w:tcPr>
            <w:tcW w:type="dxa" w:w="2448"/>
            <w:vAlign w:val="center"/>
          </w:tcPr>
          <w:p>
            <w:pPr>
              <w:spacing w:before="0" w:after="0" w:line="240" w:lineRule="auto"/>
            </w:pPr>
            <w:r>
              <w:rPr>
                <w:rFonts w:ascii="Times New Roman" w:hAnsi="Times New Roman"/>
                <w:b w:val="0"/>
                <w:sz w:val="17"/>
              </w:rPr>
              <w:t>lineage roots equal independent statistical tests</w:t>
            </w:r>
          </w:p>
        </w:tc>
        <w:tc>
          <w:tcPr>
            <w:tcW w:type="dxa" w:w="7343"/>
            <w:vAlign w:val="center"/>
          </w:tcPr>
          <w:p>
            <w:pPr>
              <w:spacing w:before="0" w:after="0" w:line="240" w:lineRule="auto"/>
            </w:pPr>
            <w:r>
              <w:rPr>
                <w:rFonts w:ascii="Times New Roman" w:hAnsi="Times New Roman"/>
                <w:b w:val="0"/>
                <w:sz w:val="17"/>
              </w:rPr>
              <w:t>rejected</w:t>
            </w:r>
          </w:p>
        </w:tc>
      </w:tr>
      <w:tr>
        <w:tc>
          <w:tcPr>
            <w:tcW w:type="dxa" w:w="2448"/>
            <w:vAlign w:val="center"/>
          </w:tcPr>
          <w:p>
            <w:pPr>
              <w:spacing w:before="0" w:after="0" w:line="240" w:lineRule="auto"/>
            </w:pPr>
            <w:r>
              <w:rPr>
                <w:rFonts w:ascii="Times New Roman" w:hAnsi="Times New Roman"/>
                <w:b w:val="0"/>
                <w:sz w:val="17"/>
              </w:rPr>
              <w:t>controlled diversity improves discovery lead</w:t>
            </w:r>
          </w:p>
        </w:tc>
        <w:tc>
          <w:tcPr>
            <w:tcW w:type="dxa" w:w="7343"/>
            <w:vAlign w:val="center"/>
          </w:tcPr>
          <w:p>
            <w:pPr>
              <w:spacing w:before="0" w:after="0" w:line="240" w:lineRule="auto"/>
            </w:pPr>
            <w:r>
              <w:rPr>
                <w:rFonts w:ascii="Times New Roman" w:hAnsi="Times New Roman"/>
                <w:b w:val="0"/>
                <w:sz w:val="17"/>
              </w:rPr>
              <w:t>empirical hypothesis</w:t>
            </w:r>
          </w:p>
        </w:tc>
      </w:tr>
      <w:tr>
        <w:tc>
          <w:tcPr>
            <w:tcW w:type="dxa" w:w="2448"/>
            <w:vAlign w:val="center"/>
          </w:tcPr>
          <w:p>
            <w:pPr>
              <w:spacing w:before="0" w:after="0" w:line="240" w:lineRule="auto"/>
            </w:pPr>
            <w:r>
              <w:rPr>
                <w:rFonts w:ascii="Times New Roman" w:hAnsi="Times New Roman"/>
                <w:b w:val="0"/>
                <w:sz w:val="17"/>
              </w:rPr>
              <w:t>PDC metacontrol improves operator allocation</w:t>
            </w:r>
          </w:p>
        </w:tc>
        <w:tc>
          <w:tcPr>
            <w:tcW w:type="dxa" w:w="7343"/>
            <w:vAlign w:val="center"/>
          </w:tcPr>
          <w:p>
            <w:pPr>
              <w:spacing w:before="0" w:after="0" w:line="240" w:lineRule="auto"/>
            </w:pPr>
            <w:r>
              <w:rPr>
                <w:rFonts w:ascii="Times New Roman" w:hAnsi="Times New Roman"/>
                <w:b w:val="0"/>
                <w:sz w:val="17"/>
              </w:rPr>
              <w:t>empirical hypothesis</w:t>
            </w:r>
          </w:p>
        </w:tc>
      </w:tr>
      <w:tr>
        <w:tc>
          <w:tcPr>
            <w:tcW w:type="dxa" w:w="2448"/>
            <w:vAlign w:val="center"/>
          </w:tcPr>
          <w:p>
            <w:pPr>
              <w:spacing w:before="0" w:after="0" w:line="240" w:lineRule="auto"/>
            </w:pPr>
            <w:r>
              <w:rPr>
                <w:rFonts w:ascii="Times New Roman" w:hAnsi="Times New Roman"/>
                <w:b w:val="0"/>
                <w:sz w:val="17"/>
              </w:rPr>
              <w:t>DHD is empirically superior to novelty search/QD</w:t>
            </w:r>
          </w:p>
        </w:tc>
        <w:tc>
          <w:tcPr>
            <w:tcW w:type="dxa" w:w="7343"/>
            <w:vAlign w:val="center"/>
          </w:tcPr>
          <w:p>
            <w:pPr>
              <w:spacing w:before="0" w:after="0" w:line="240" w:lineRule="auto"/>
            </w:pPr>
            <w:r>
              <w:rPr>
                <w:rFonts w:ascii="Times New Roman" w:hAnsi="Times New Roman"/>
                <w:b w:val="0"/>
                <w:sz w:val="17"/>
              </w:rPr>
              <w:t>unproven</w:t>
            </w:r>
          </w:p>
        </w:tc>
      </w:tr>
    </w:tbl>
    <w:bookmarkEnd w:id="70"/>
    <w:bookmarkStart w:id="71" w:name="novelty-and-relation-to-prior-art"/>
    <w:p>
      <w:pPr>
        <w:pStyle w:val="Heading1"/>
        <w:keepNext/>
      </w:pPr>
      <w:r>
        <w:t xml:space="preserve">16. Novelty and relation to prior art</w:t>
      </w:r>
    </w:p>
    <w:p>
      <w:pPr>
        <w:pStyle w:val="FirstParagraph"/>
      </w:pPr>
      <w:r>
        <w:t xml:space="preserve">DHD should not claim novelty for ensembles, novelty search, quality-diversity archives, DPPs, SMC populations, causal discovery, counterfactual reasoning, probabilistic programming, performative prediction, or bandit allocation. Those are established ideas.</w:t>
      </w:r>
    </w:p>
    <w:p>
      <w:pPr>
        <w:pStyle w:val="BodyText"/>
      </w:pPr>
      <w:r>
        <w:t xml:space="preserve">The potentially distinctive contribution is the conjunction of five design commitments:</w:t>
      </w:r>
    </w:p>
    <w:p>
      <w:pPr>
        <w:pStyle w:val="Compact"/>
        <w:numPr>
          <w:ilvl w:val="0"/>
          <w:numId w:val="1009"/>
        </w:numPr>
      </w:pPr>
      <w:r>
        <w:t xml:space="preserve">a typed heterogeneous archive whose members are retained without epistemic commitment;</w:t>
      </w:r>
    </w:p>
    <w:p>
      <w:pPr>
        <w:pStyle w:val="Compact"/>
        <w:numPr>
          <w:ilvl w:val="0"/>
          <w:numId w:val="1009"/>
        </w:numPr>
      </w:pPr>
      <w:r>
        <w:t xml:space="preserve">external metacontrol that separates operator class, mutation magnitude, resource budget, and archive breadth;</w:t>
      </w:r>
    </w:p>
    <w:p>
      <w:pPr>
        <w:pStyle w:val="Compact"/>
        <w:numPr>
          <w:ilvl w:val="0"/>
          <w:numId w:val="1009"/>
        </w:numPr>
      </w:pPr>
      <w:r>
        <w:t xml:space="preserve">a generator family explicitly designed to cover different divergence channels rather than only parameter-space neighborhoods;</w:t>
      </w:r>
    </w:p>
    <w:p>
      <w:pPr>
        <w:pStyle w:val="Compact"/>
        <w:numPr>
          <w:ilvl w:val="0"/>
          <w:numId w:val="1009"/>
        </w:numPr>
      </w:pPr>
      <w:r>
        <w:t xml:space="preserve">persistent provenance integrated with model-space exploration and prospective registration;</w:t>
      </w:r>
    </w:p>
    <w:p>
      <w:pPr>
        <w:pStyle w:val="Compact"/>
        <w:numPr>
          <w:ilvl w:val="0"/>
          <w:numId w:val="1009"/>
        </w:numPr>
      </w:pPr>
      <w:r>
        <w:t xml:space="preserve">an empirical test of controlled structural diversity under compute-matched and multiplicity-controlled conditions.</w:t>
      </w:r>
    </w:p>
    <w:p>
      <w:pPr>
        <w:pStyle w:val="FirstParagraph"/>
      </w:pPr>
      <w:r>
        <w:t xml:space="preserve">Whether that conjunction is sufficiently novel to constitute a distinct scientific framework is itself testable. If a simpler established novelty/QD system with the same model families and compute performs equivalently, DHD’s contribution reduces to an engineering integration pattern.</w:t>
      </w:r>
    </w:p>
    <w:bookmarkEnd w:id="71"/>
    <w:bookmarkStart w:id="72" w:name="open-problems"/>
    <w:p>
      <w:pPr>
        <w:pStyle w:val="Heading1"/>
        <w:keepNext/>
      </w:pPr>
      <w:r>
        <w:t xml:space="preserve">17. Open problems</w:t>
      </w:r>
    </w:p>
    <w:p>
      <w:pPr>
        <w:pStyle w:val="FirstParagraph"/>
      </w:pPr>
      <w:r>
        <w:t xml:space="preserve">Eight problems remain intentionally open.</w:t>
      </w:r>
    </w:p>
    <w:p>
      <w:pPr>
        <w:pStyle w:val="Compact"/>
        <w:numPr>
          <w:ilvl w:val="0"/>
          <w:numId w:val="1010"/>
        </w:numPr>
      </w:pPr>
      <w:r>
        <w:rPr>
          <w:b/>
          <w:bCs/>
        </w:rPr>
        <w:t xml:space="preserve">Heterogeneous PSD kernels.</w:t>
      </w:r>
      <w:r>
        <w:t xml:space="preserve"> </w:t>
      </w:r>
      <w:r>
        <w:t xml:space="preserve">No universal positive-semidefinite kernel has been established across the full coproduct while preserving all causal, temporal, and predictive semantics.</w:t>
      </w:r>
    </w:p>
    <w:p>
      <w:pPr>
        <w:pStyle w:val="Compact"/>
        <w:numPr>
          <w:ilvl w:val="0"/>
          <w:numId w:val="1010"/>
        </w:numPr>
      </w:pPr>
      <w:r>
        <w:rPr>
          <w:b/>
          <w:bCs/>
        </w:rPr>
        <w:t xml:space="preserve">Reachability.</w:t>
      </w:r>
      <w:r>
        <w:t xml:space="preserve"> </w:t>
      </w:r>
      <w:r>
        <w:t xml:space="preserve">No concrete generator library has been proved complete even for a useful restricted model space.</w:t>
      </w:r>
    </w:p>
    <w:p>
      <w:pPr>
        <w:pStyle w:val="Compact"/>
        <w:numPr>
          <w:ilvl w:val="0"/>
          <w:numId w:val="1010"/>
        </w:numPr>
      </w:pPr>
      <w:r>
        <w:rPr>
          <w:b/>
          <w:bCs/>
        </w:rPr>
        <w:t xml:space="preserve">Empirical advantage.</w:t>
      </w:r>
      <w:r>
        <w:t xml:space="preserve"> </w:t>
      </w:r>
      <w:r>
        <w:t xml:space="preserve">Controlled structural diversity has not yet shown a compute-matched discovery advantage.</w:t>
      </w:r>
    </w:p>
    <w:p>
      <w:pPr>
        <w:pStyle w:val="Compact"/>
        <w:numPr>
          <w:ilvl w:val="0"/>
          <w:numId w:val="1010"/>
        </w:numPr>
      </w:pPr>
      <w:r>
        <w:rPr>
          <w:b/>
          <w:bCs/>
        </w:rPr>
        <w:t xml:space="preserve">Adaptive multiplicity.</w:t>
      </w:r>
      <w:r>
        <w:t xml:space="preserve"> </w:t>
      </w:r>
      <w:r>
        <w:t xml:space="preserve">The correct downstream inferential procedure for hypotheses generated adaptively from prior data and lineage remains unresolved.</w:t>
      </w:r>
    </w:p>
    <w:p>
      <w:pPr>
        <w:pStyle w:val="Compact"/>
        <w:numPr>
          <w:ilvl w:val="0"/>
          <w:numId w:val="1010"/>
        </w:numPr>
      </w:pPr>
      <w:r>
        <w:rPr>
          <w:b/>
          <w:bCs/>
        </w:rPr>
        <w:t xml:space="preserve">Lineage dependence.</w:t>
      </w:r>
      <w:r>
        <w:t xml:space="preserve"> </w:t>
      </w:r>
      <w:r>
        <w:t xml:space="preserve">Provenance may expose useful dependence structure, but no theorem converts genealogy into FDR/FWER control.</w:t>
      </w:r>
    </w:p>
    <w:p>
      <w:pPr>
        <w:pStyle w:val="Compact"/>
        <w:numPr>
          <w:ilvl w:val="0"/>
          <w:numId w:val="1010"/>
        </w:numPr>
      </w:pPr>
      <w:r>
        <w:rPr>
          <w:b/>
          <w:bCs/>
        </w:rPr>
        <w:t xml:space="preserve">Resource-rational value.</w:t>
      </w:r>
      <w:r>
        <w:t xml:space="preserve"> </w:t>
      </w:r>
      <w:r>
        <w:t xml:space="preserve">A principled value function over vector compute/memory/latency budgets remains to be developed.</w:t>
      </w:r>
    </w:p>
    <w:p>
      <w:pPr>
        <w:pStyle w:val="Compact"/>
        <w:numPr>
          <w:ilvl w:val="0"/>
          <w:numId w:val="1010"/>
        </w:numPr>
      </w:pPr>
      <w:r>
        <w:rPr>
          <w:b/>
          <w:bCs/>
        </w:rPr>
        <w:t xml:space="preserve">Scalable contradiction management.</w:t>
      </w:r>
      <w:r>
        <w:t xml:space="preserve"> </w:t>
      </w:r>
      <w:r>
        <w:t xml:space="preserve">The architecture is clear, but efficient contradiction indexing across very large heterogeneous archives is open.</w:t>
      </w:r>
    </w:p>
    <w:p>
      <w:pPr>
        <w:pStyle w:val="Compact"/>
        <w:numPr>
          <w:ilvl w:val="0"/>
          <w:numId w:val="1010"/>
        </w:numPr>
      </w:pPr>
      <w:r>
        <w:rPr>
          <w:b/>
          <w:bCs/>
        </w:rPr>
        <w:t xml:space="preserve">Behavior descriptor design.</w:t>
      </w:r>
      <w:r>
        <w:t xml:space="preserve"> </w:t>
      </w:r>
      <w:r>
        <w:t xml:space="preserve">Coverage is meaningful only relative to a declared descriptor space, yet a poor descriptor can hide valuable structural diversity or smuggle in epistemic quality.</w:t>
      </w:r>
    </w:p>
    <w:bookmarkEnd w:id="72"/>
    <w:bookmarkStart w:id="73" w:name="minimum-viable-dhd"/>
    <w:p>
      <w:pPr>
        <w:pStyle w:val="Heading1"/>
        <w:keepNext/>
      </w:pPr>
      <w:r>
        <w:t xml:space="preserve">18. Minimum viable DHD</w:t>
      </w:r>
    </w:p>
    <w:p>
      <w:pPr>
        <w:pStyle w:val="FirstParagraph"/>
      </w:pPr>
      <w:r>
        <w:t xml:space="preserve">The smallest implementation capable of testing Empirical Hypothesis 1 consists of:</w:t>
      </w:r>
    </w:p>
    <w:p>
      <w:pPr>
        <w:pStyle w:val="Compact"/>
        <w:numPr>
          <w:ilvl w:val="0"/>
          <w:numId w:val="1011"/>
        </w:numPr>
      </w:pPr>
      <w:r>
        <w:t xml:space="preserve">a typed coproduct hypothesis space and executable interface contract;</w:t>
      </w:r>
    </w:p>
    <w:p>
      <w:pPr>
        <w:pStyle w:val="Compact"/>
        <w:numPr>
          <w:ilvl w:val="0"/>
          <w:numId w:val="1011"/>
        </w:numPr>
      </w:pPr>
      <w:r>
        <w:t xml:space="preserve">three to five generator classes spanning local, regime/temporal, causal, model-class, and reflexive moves;</w:t>
      </w:r>
    </w:p>
    <w:p>
      <w:pPr>
        <w:pStyle w:val="Compact"/>
        <w:numPr>
          <w:ilvl w:val="0"/>
          <w:numId w:val="1011"/>
        </w:numPr>
      </w:pPr>
      <w:r>
        <w:t xml:space="preserve">the hard validity/testability gate;</w:t>
      </w:r>
    </w:p>
    <w:p>
      <w:pPr>
        <w:pStyle w:val="Compact"/>
        <w:numPr>
          <w:ilvl w:val="0"/>
          <w:numId w:val="1011"/>
        </w:numPr>
      </w:pPr>
      <w:r>
        <w:t xml:space="preserve">a thresholded novelty/coverage archive under explicit budget;</w:t>
      </w:r>
    </w:p>
    <w:p>
      <w:pPr>
        <w:pStyle w:val="Compact"/>
        <w:numPr>
          <w:ilvl w:val="0"/>
          <w:numId w:val="1011"/>
        </w:numPr>
      </w:pPr>
      <w:r>
        <w:t xml:space="preserve">immutable provenance DAGs;</w:t>
      </w:r>
    </w:p>
    <w:p>
      <w:pPr>
        <w:pStyle w:val="Compact"/>
        <w:numPr>
          <w:ilvl w:val="0"/>
          <w:numId w:val="1011"/>
        </w:numPr>
      </w:pPr>
      <w:r>
        <w:t xml:space="preserve">external control tuple</w:t>
      </w:r>
      <w:r>
        <w:t xml:space="preserve"> </w:t>
      </w:r>
      <m:oMath>
        <m:sSubSup>
          <m:e>
            <m:r>
              <m:t>u</m:t>
            </m:r>
          </m:e>
          <m:sub>
            <m:r>
              <m:t>t</m:t>
            </m:r>
          </m:sub>
          <m:sup>
            <m:r>
              <m:t>D</m:t>
            </m:r>
          </m:sup>
        </m:sSubSup>
      </m:oMath>
      <w:r>
        <w:t xml:space="preserve"> </w:t>
      </w:r>
      <w:r>
        <w:t xml:space="preserve">from PDC;</w:t>
      </w:r>
    </w:p>
    <w:p>
      <w:pPr>
        <w:pStyle w:val="Compact"/>
        <w:numPr>
          <w:ilvl w:val="0"/>
          <w:numId w:val="1011"/>
        </w:numPr>
      </w:pPr>
      <w:r>
        <w:t xml:space="preserve">export to a separate adjudicator.</w:t>
      </w:r>
    </w:p>
    <w:p>
      <w:pPr>
        <w:pStyle w:val="FirstParagraph"/>
      </w:pPr>
      <w:r>
        <w:t xml:space="preserve">DPP selection, analogical generation, operator bandits, advanced causal kernels, and dormancy/resurrection are extensions rather than prerequisites. This minimum architecture should be tested first because a theory that only works after adding every optional mechanism is difficult to falsify.</w:t>
      </w:r>
    </w:p>
    <w:bookmarkEnd w:id="73"/>
    <w:bookmarkStart w:id="74" w:name="conclusion"/>
    <w:p>
      <w:pPr>
        <w:pStyle w:val="Heading1"/>
        <w:keepNext/>
      </w:pPr>
      <w:r>
        <w:t xml:space="preserve">19. Conclusion</w:t>
      </w:r>
    </w:p>
    <w:p>
      <w:pPr>
        <w:pStyle w:val="FirstParagraph"/>
      </w:pPr>
      <w:r>
        <w:t xml:space="preserve">Divergent Hypothesis Dynamics formalizes a narrow but important idea: an intelligent system should sometimes spend computation generating explanations that it does not currently believe. The framework is designed for situations in which model-family misspecification, regime change, causal ambiguity, temporal aliasing, or endogenous feedback makes local inference insufficient. Its core is not irrationality. It is</w:t>
      </w:r>
      <w:r>
        <w:t xml:space="preserve"> </w:t>
      </w:r>
      <w:r>
        <w:rPr>
          <w:b/>
          <w:bCs/>
        </w:rPr>
        <w:t xml:space="preserve">controlled exploration of explanatory structure</w:t>
      </w:r>
      <w:r>
        <w:t xml:space="preserve">.</w:t>
      </w:r>
    </w:p>
    <w:p>
      <w:pPr>
        <w:pStyle w:val="BodyText"/>
      </w:pPr>
      <w:r>
        <w:t xml:space="preserve">The mathematically defensible DHD architecture is a typed heterogeneous hypothesis space, a set of partial stochastic generators, a multi-view comparison layer, a bounded novelty/coverage archive, explicit contradiction and equivalence relations, immutable provenance, and an external metacontrol interface. Several attractive ideas from the first research round do not survive: the scalar exploration objective, a single divergence knob, an unconditional global distance, DPPs as the universal archive mechanism, automatic multiplicity correction from lineage, and unqualified ergodicity claims.</w:t>
      </w:r>
    </w:p>
    <w:p>
      <w:pPr>
        <w:pStyle w:val="BodyText"/>
      </w:pPr>
      <w:r>
        <w:t xml:space="preserve">The architecture deliberately stops before belief. A later adjudicator must determine which hypotheses deserve epistemic weight, and a later policy layer must determine what to do. That separation is the scientific wager of DHD. If controlled structural divergence produces earlier validated discovery under matched resources and strict false-discovery control, DHD earns its place as an independent cognitive framework. If it does not, the kill criteria require reducing it to the simpler search mechanisms it resembles.</w:t>
      </w:r>
    </w:p>
    <w:bookmarkEnd w:id="74"/>
    <w:bookmarkStart w:id="75" w:name="appendix-a.-principal-notation"/>
    <w:p>
      <w:pPr>
        <w:pStyle w:val="Heading1"/>
        <w:keepNext/>
      </w:pPr>
      <w:r>
        <w:t xml:space="preserve">Appendix A. Principal notation</w:t>
      </w:r>
    </w:p>
    <w:tbl>
      <w:tblPr>
        <w:tblStyle w:val="TableGrid"/>
        <w:tblW w:type="pct" w:w="5000"/>
        <w:jc w:val="center"/>
        <w:tblLayout w:type="fixed"/>
        <w:tblLook w:firstRow="1" w:lastRow="0" w:firstColumn="0" w:lastColumn="0" w:noHBand="0" w:noVBand="0" w:val="0020"/>
      </w:tblPr>
      <w:tblGrid>
        <w:gridCol w:w="3960"/>
        <w:gridCol w:w="3960"/>
      </w:tblGrid>
      <w:tr>
        <w:trPr>
          <w:tblHeader w:val="true"/>
        </w:trPr>
        <w:tc>
          <w:tcPr>
            <w:tcW w:type="dxa" w:w="2448"/>
            <w:vAlign w:val="center"/>
            <w:shd w:fill="EAF1F8"/>
          </w:tcPr>
          <w:p>
            <w:pPr>
              <w:spacing w:before="0" w:after="0" w:line="240" w:lineRule="auto"/>
            </w:pPr>
            <w:r>
              <w:rPr>
                <w:rFonts w:ascii="Times New Roman" w:hAnsi="Times New Roman"/>
                <w:b/>
                <w:sz w:val="17"/>
              </w:rPr>
              <w:t>Symbol</w:t>
            </w:r>
          </w:p>
        </w:tc>
        <w:tc>
          <w:tcPr>
            <w:tcW w:type="dxa" w:w="7343"/>
            <w:vAlign w:val="center"/>
            <w:shd w:fill="EAF1F8"/>
          </w:tcPr>
          <w:p>
            <w:pPr>
              <w:spacing w:before="0" w:after="0" w:line="240" w:lineRule="auto"/>
            </w:pPr>
            <w:r>
              <w:rPr>
                <w:rFonts w:ascii="Times New Roman" w:hAnsi="Times New Roman"/>
                <w:b/>
                <w:sz w:val="17"/>
              </w:rPr>
              <w:t>Meaning</w:t>
            </w:r>
          </w:p>
        </w:tc>
      </w:tr>
      <w:tr>
        <w:tc>
          <w:tcPr>
            <w:tcW w:type="dxa" w:w="2448"/>
            <w:vAlign w:val="center"/>
          </w:tcPr>
          <w:p>
            <w:pPr>
              <w:spacing w:before="0" w:after="0" w:line="240" w:lineRule="auto"/>
            </w:pPr>
            <w:r>
              <w:rPr>
                <w:rFonts w:ascii="Times New Roman" w:hAnsi="Times New Roman"/>
                <w:b w:val="0"/>
                <w:sz w:val="17"/>
              </w:rPr>
              <w:t>K</w:t>
            </w:r>
          </w:p>
        </w:tc>
        <w:tc>
          <w:tcPr>
            <w:tcW w:type="dxa" w:w="7343"/>
            <w:vAlign w:val="center"/>
          </w:tcPr>
          <w:p>
            <w:pPr>
              <w:spacing w:before="0" w:after="0" w:line="240" w:lineRule="auto"/>
            </w:pPr>
            <w:r>
              <w:rPr>
                <w:rFonts w:ascii="Times New Roman" w:hAnsi="Times New Roman"/>
                <w:b w:val="0"/>
                <w:sz w:val="17"/>
              </w:rPr>
              <w:t>model-family index set</w:t>
            </w:r>
          </w:p>
        </w:tc>
      </w:tr>
      <w:tr>
        <w:tc>
          <w:tcPr>
            <w:tcW w:type="dxa" w:w="2448"/>
            <w:vAlign w:val="center"/>
          </w:tcPr>
          <w:p>
            <w:pPr>
              <w:spacing w:before="0" w:after="0" w:line="240" w:lineRule="auto"/>
            </w:pPr>
            <w:r>
              <w:rPr>
                <w:rFonts w:ascii="Times New Roman" w:hAnsi="Times New Roman"/>
                <w:b w:val="0"/>
                <w:sz w:val="17"/>
              </w:rPr>
              <w:t>H_k</w:t>
            </w:r>
          </w:p>
        </w:tc>
        <w:tc>
          <w:tcPr>
            <w:tcW w:type="dxa" w:w="7343"/>
            <w:vAlign w:val="center"/>
          </w:tcPr>
          <w:p>
            <w:pPr>
              <w:spacing w:before="0" w:after="0" w:line="240" w:lineRule="auto"/>
            </w:pPr>
            <w:r>
              <w:rPr>
                <w:rFonts w:ascii="Times New Roman" w:hAnsi="Times New Roman"/>
                <w:b w:val="0"/>
                <w:sz w:val="17"/>
              </w:rPr>
              <w:t xml:space="preserve">hypothesis family </w:t>
            </w:r>
          </w:p>
        </w:tc>
      </w:tr>
      <w:tr>
        <w:tc>
          <w:tcPr>
            <w:tcW w:type="dxa" w:w="2448"/>
            <w:vAlign w:val="center"/>
          </w:tcPr>
          <w:p>
            <w:pPr>
              <w:spacing w:before="0" w:after="0" w:line="240" w:lineRule="auto"/>
            </w:pPr>
            <w:r>
              <w:rPr>
                <w:rFonts w:ascii="Times New Roman" w:hAnsi="Times New Roman"/>
                <w:b w:val="0"/>
                <w:sz w:val="17"/>
              </w:rPr>
              <w:t>H</w:t>
            </w:r>
          </w:p>
        </w:tc>
        <w:tc>
          <w:tcPr>
            <w:tcW w:type="dxa" w:w="7343"/>
            <w:vAlign w:val="center"/>
          </w:tcPr>
          <w:p>
            <w:pPr>
              <w:spacing w:before="0" w:after="0" w:line="240" w:lineRule="auto"/>
            </w:pPr>
            <w:r>
              <w:rPr>
                <w:rFonts w:ascii="Times New Roman" w:hAnsi="Times New Roman"/>
                <w:b w:val="0"/>
                <w:sz w:val="17"/>
              </w:rPr>
              <w:t>typed coproduct hypothesis space</w:t>
            </w:r>
          </w:p>
        </w:tc>
      </w:tr>
      <w:tr>
        <w:tc>
          <w:tcPr>
            <w:tcW w:type="dxa" w:w="2448"/>
            <w:vAlign w:val="center"/>
          </w:tcPr>
          <w:p>
            <w:pPr>
              <w:spacing w:before="0" w:after="0" w:line="240" w:lineRule="auto"/>
            </w:pPr>
            <w:r>
              <w:rPr>
                <w:rFonts w:ascii="Times New Roman" w:hAnsi="Times New Roman"/>
                <w:b w:val="0"/>
                <w:sz w:val="17"/>
              </w:rPr>
              <w:t>h</w:t>
            </w:r>
          </w:p>
        </w:tc>
        <w:tc>
          <w:tcPr>
            <w:tcW w:type="dxa" w:w="7343"/>
            <w:vAlign w:val="center"/>
          </w:tcPr>
          <w:p>
            <w:pPr>
              <w:spacing w:before="0" w:after="0" w:line="240" w:lineRule="auto"/>
            </w:pPr>
            <w:r>
              <w:rPr>
                <w:rFonts w:ascii="Times New Roman" w:hAnsi="Times New Roman"/>
                <w:b w:val="0"/>
                <w:sz w:val="17"/>
              </w:rPr>
              <w:t>one executable hypothesis</w:t>
            </w:r>
          </w:p>
        </w:tc>
      </w:tr>
      <w:tr>
        <w:tc>
          <w:tcPr>
            <w:tcW w:type="dxa" w:w="2448"/>
            <w:vAlign w:val="center"/>
          </w:tcPr>
          <w:p>
            <w:pPr>
              <w:spacing w:before="0" w:after="0" w:line="240" w:lineRule="auto"/>
            </w:pPr>
            <w:r>
              <w:rPr>
                <w:rFonts w:ascii="Times New Roman" w:hAnsi="Times New Roman"/>
                <w:b w:val="0"/>
                <w:sz w:val="17"/>
              </w:rPr>
              <w:t>M</w:t>
            </w:r>
          </w:p>
        </w:tc>
        <w:tc>
          <w:tcPr>
            <w:tcW w:type="dxa" w:w="7343"/>
            <w:vAlign w:val="center"/>
          </w:tcPr>
          <w:p>
            <w:pPr>
              <w:spacing w:before="0" w:after="0" w:line="240" w:lineRule="auto"/>
            </w:pPr>
            <w:r>
              <w:rPr>
                <w:rFonts w:ascii="Times New Roman" w:hAnsi="Times New Roman"/>
                <w:b w:val="0"/>
                <w:sz w:val="17"/>
              </w:rPr>
              <w:t>executable generative model/program</w:t>
            </w:r>
          </w:p>
        </w:tc>
      </w:tr>
      <w:tr>
        <w:tc>
          <w:tcPr>
            <w:tcW w:type="dxa" w:w="2448"/>
            <w:vAlign w:val="center"/>
          </w:tcPr>
          <w:p>
            <w:pPr>
              <w:spacing w:before="0" w:after="0" w:line="240" w:lineRule="auto"/>
            </w:pPr>
            <w:r>
              <w:rPr>
                <w:rFonts w:ascii="Times New Roman" w:hAnsi="Times New Roman"/>
                <w:b w:val="0"/>
                <w:sz w:val="17"/>
              </w:rPr>
              <w:t>Omega</w:t>
            </w:r>
          </w:p>
        </w:tc>
        <w:tc>
          <w:tcPr>
            <w:tcW w:type="dxa" w:w="7343"/>
            <w:vAlign w:val="center"/>
          </w:tcPr>
          <w:p>
            <w:pPr>
              <w:spacing w:before="0" w:after="0" w:line="240" w:lineRule="auto"/>
            </w:pPr>
            <w:r>
              <w:rPr>
                <w:rFonts w:ascii="Times New Roman" w:hAnsi="Times New Roman"/>
                <w:b w:val="0"/>
                <w:sz w:val="17"/>
              </w:rPr>
              <w:t>predictive-consequence operator</w:t>
            </w:r>
          </w:p>
        </w:tc>
      </w:tr>
      <w:tr>
        <w:tc>
          <w:tcPr>
            <w:tcW w:type="dxa" w:w="2448"/>
            <w:vAlign w:val="center"/>
          </w:tcPr>
          <w:p>
            <w:pPr>
              <w:spacing w:before="0" w:after="0" w:line="240" w:lineRule="auto"/>
            </w:pPr>
            <w:r>
              <w:rPr>
                <w:rFonts w:ascii="Times New Roman" w:hAnsi="Times New Roman"/>
                <w:b w:val="0"/>
                <w:sz w:val="17"/>
              </w:rPr>
              <w:t>Pi</w:t>
            </w:r>
          </w:p>
        </w:tc>
        <w:tc>
          <w:tcPr>
            <w:tcW w:type="dxa" w:w="7343"/>
            <w:vAlign w:val="center"/>
          </w:tcPr>
          <w:p>
            <w:pPr>
              <w:spacing w:before="0" w:after="0" w:line="240" w:lineRule="auto"/>
            </w:pPr>
            <w:r>
              <w:rPr>
                <w:rFonts w:ascii="Times New Roman" w:hAnsi="Times New Roman"/>
                <w:b w:val="0"/>
                <w:sz w:val="17"/>
              </w:rPr>
              <w:t>provenance record</w:t>
            </w:r>
          </w:p>
        </w:tc>
      </w:tr>
      <w:tr>
        <w:tc>
          <w:tcPr>
            <w:tcW w:type="dxa" w:w="2448"/>
            <w:vAlign w:val="center"/>
          </w:tcPr>
          <w:p>
            <w:pPr>
              <w:spacing w:before="0" w:after="0" w:line="240" w:lineRule="auto"/>
            </w:pPr>
            <w:r>
              <w:rPr>
                <w:rFonts w:ascii="Times New Roman" w:hAnsi="Times New Roman"/>
                <w:b w:val="0"/>
                <w:sz w:val="17"/>
              </w:rPr>
              <w:t>d_profile</w:t>
            </w:r>
          </w:p>
        </w:tc>
        <w:tc>
          <w:tcPr>
            <w:tcW w:type="dxa" w:w="7343"/>
            <w:vAlign w:val="center"/>
          </w:tcPr>
          <w:p>
            <w:pPr>
              <w:spacing w:before="0" w:after="0" w:line="240" w:lineRule="auto"/>
            </w:pPr>
            <w:r>
              <w:rPr>
                <w:rFonts w:ascii="Times New Roman" w:hAnsi="Times New Roman"/>
                <w:b w:val="0"/>
                <w:sz w:val="17"/>
              </w:rPr>
              <w:t>multi-view distance/profile</w:t>
            </w:r>
          </w:p>
        </w:tc>
      </w:tr>
      <w:tr>
        <w:tc>
          <w:tcPr>
            <w:tcW w:type="dxa" w:w="2448"/>
            <w:vAlign w:val="center"/>
          </w:tcPr>
          <w:p>
            <w:pPr>
              <w:spacing w:before="0" w:after="0" w:line="240" w:lineRule="auto"/>
            </w:pPr>
            <w:r>
              <w:rPr>
                <w:rFonts w:ascii="Times New Roman" w:hAnsi="Times New Roman"/>
                <w:b w:val="0"/>
                <w:sz w:val="17"/>
              </w:rPr>
              <w:t>G_g</w:t>
            </w:r>
          </w:p>
        </w:tc>
        <w:tc>
          <w:tcPr>
            <w:tcW w:type="dxa" w:w="7343"/>
            <w:vAlign w:val="center"/>
          </w:tcPr>
          <w:p>
            <w:pPr>
              <w:spacing w:before="0" w:after="0" w:line="240" w:lineRule="auto"/>
            </w:pPr>
            <w:r>
              <w:rPr>
                <w:rFonts w:ascii="Times New Roman" w:hAnsi="Times New Roman"/>
                <w:b w:val="0"/>
                <w:sz w:val="17"/>
              </w:rPr>
              <w:t xml:space="preserve">typed generator </w:t>
            </w:r>
          </w:p>
        </w:tc>
      </w:tr>
      <w:tr>
        <w:tc>
          <w:tcPr>
            <w:tcW w:type="dxa" w:w="2448"/>
            <w:vAlign w:val="center"/>
          </w:tcPr>
          <w:p>
            <w:pPr>
              <w:spacing w:before="0" w:after="0" w:line="240" w:lineRule="auto"/>
            </w:pPr>
            <w:r>
              <w:rPr>
                <w:rFonts w:ascii="Times New Roman" w:hAnsi="Times New Roman"/>
                <w:b w:val="0"/>
                <w:sz w:val="17"/>
              </w:rPr>
              <w:t>G</w:t>
            </w:r>
          </w:p>
        </w:tc>
        <w:tc>
          <w:tcPr>
            <w:tcW w:type="dxa" w:w="7343"/>
            <w:vAlign w:val="center"/>
          </w:tcPr>
          <w:p>
            <w:pPr>
              <w:spacing w:before="0" w:after="0" w:line="240" w:lineRule="auto"/>
            </w:pPr>
            <w:r>
              <w:rPr>
                <w:rFonts w:ascii="Times New Roman" w:hAnsi="Times New Roman"/>
                <w:b w:val="0"/>
                <w:sz w:val="17"/>
              </w:rPr>
              <w:t>generator library</w:t>
            </w:r>
          </w:p>
        </w:tc>
      </w:tr>
      <w:tr>
        <w:tc>
          <w:tcPr>
            <w:tcW w:type="dxa" w:w="2448"/>
            <w:vAlign w:val="center"/>
          </w:tcPr>
          <w:p>
            <w:pPr>
              <w:spacing w:before="0" w:after="0" w:line="240" w:lineRule="auto"/>
            </w:pPr>
            <w:r>
              <w:rPr>
                <w:rFonts w:ascii="Times New Roman" w:hAnsi="Times New Roman"/>
                <w:b w:val="0"/>
                <w:sz w:val="17"/>
              </w:rPr>
              <w:t>E_t</w:t>
            </w:r>
          </w:p>
        </w:tc>
        <w:tc>
          <w:tcPr>
            <w:tcW w:type="dxa" w:w="7343"/>
            <w:vAlign w:val="center"/>
          </w:tcPr>
          <w:p>
            <w:pPr>
              <w:spacing w:before="0" w:after="0" w:line="240" w:lineRule="auto"/>
            </w:pPr>
            <w:r>
              <w:rPr>
                <w:rFonts w:ascii="Times New Roman" w:hAnsi="Times New Roman"/>
                <w:b w:val="0"/>
                <w:sz w:val="17"/>
              </w:rPr>
              <w:t>generation evidence/context</w:t>
            </w:r>
          </w:p>
        </w:tc>
      </w:tr>
      <w:tr>
        <w:tc>
          <w:tcPr>
            <w:tcW w:type="dxa" w:w="2448"/>
            <w:vAlign w:val="center"/>
          </w:tcPr>
          <w:p>
            <w:pPr>
              <w:spacing w:before="0" w:after="0" w:line="240" w:lineRule="auto"/>
            </w:pPr>
            <w:r>
              <w:rPr>
                <w:rFonts w:ascii="Times New Roman" w:hAnsi="Times New Roman"/>
                <w:b w:val="0"/>
                <w:sz w:val="17"/>
              </w:rPr>
              <w:t>u_t^D</w:t>
            </w:r>
          </w:p>
        </w:tc>
        <w:tc>
          <w:tcPr>
            <w:tcW w:type="dxa" w:w="7343"/>
            <w:vAlign w:val="center"/>
          </w:tcPr>
          <w:p>
            <w:pPr>
              <w:spacing w:before="0" w:after="0" w:line="240" w:lineRule="auto"/>
            </w:pPr>
            <w:r>
              <w:rPr>
                <w:rFonts w:ascii="Times New Roman" w:hAnsi="Times New Roman"/>
                <w:b w:val="0"/>
                <w:sz w:val="17"/>
              </w:rPr>
              <w:t>DHD control tuple from PDC</w:t>
            </w:r>
          </w:p>
        </w:tc>
      </w:tr>
      <w:tr>
        <w:tc>
          <w:tcPr>
            <w:tcW w:type="dxa" w:w="2448"/>
            <w:vAlign w:val="center"/>
          </w:tcPr>
          <w:p>
            <w:pPr>
              <w:spacing w:before="0" w:after="0" w:line="240" w:lineRule="auto"/>
            </w:pPr>
            <w:r>
              <w:rPr>
                <w:rFonts w:ascii="Times New Roman" w:hAnsi="Times New Roman"/>
                <w:b w:val="0"/>
                <w:sz w:val="17"/>
              </w:rPr>
              <w:t>pi_t^G</w:t>
            </w:r>
          </w:p>
        </w:tc>
        <w:tc>
          <w:tcPr>
            <w:tcW w:type="dxa" w:w="7343"/>
            <w:vAlign w:val="center"/>
          </w:tcPr>
          <w:p>
            <w:pPr>
              <w:spacing w:before="0" w:after="0" w:line="240" w:lineRule="auto"/>
            </w:pPr>
            <w:r>
              <w:rPr>
                <w:rFonts w:ascii="Times New Roman" w:hAnsi="Times New Roman"/>
                <w:b w:val="0"/>
                <w:sz w:val="17"/>
              </w:rPr>
              <w:t>generator-mixture policy</w:t>
            </w:r>
          </w:p>
        </w:tc>
      </w:tr>
      <w:tr>
        <w:tc>
          <w:tcPr>
            <w:tcW w:type="dxa" w:w="2448"/>
            <w:vAlign w:val="center"/>
          </w:tcPr>
          <w:p>
            <w:pPr>
              <w:spacing w:before="0" w:after="0" w:line="240" w:lineRule="auto"/>
            </w:pPr>
            <w:r>
              <w:rPr>
                <w:rFonts w:ascii="Times New Roman" w:hAnsi="Times New Roman"/>
                <w:b w:val="0"/>
                <w:sz w:val="17"/>
              </w:rPr>
              <w:t>s_t</w:t>
            </w:r>
          </w:p>
        </w:tc>
        <w:tc>
          <w:tcPr>
            <w:tcW w:type="dxa" w:w="7343"/>
            <w:vAlign w:val="center"/>
          </w:tcPr>
          <w:p>
            <w:pPr>
              <w:spacing w:before="0" w:after="0" w:line="240" w:lineRule="auto"/>
            </w:pPr>
            <w:r>
              <w:rPr>
                <w:rFonts w:ascii="Times New Roman" w:hAnsi="Times New Roman"/>
                <w:b w:val="0"/>
                <w:sz w:val="17"/>
              </w:rPr>
              <w:t>operator-specific mutation scale vector</w:t>
            </w:r>
          </w:p>
        </w:tc>
      </w:tr>
      <w:tr>
        <w:tc>
          <w:tcPr>
            <w:tcW w:type="dxa" w:w="2448"/>
            <w:vAlign w:val="center"/>
          </w:tcPr>
          <w:p>
            <w:pPr>
              <w:spacing w:before="0" w:after="0" w:line="240" w:lineRule="auto"/>
            </w:pPr>
            <w:r>
              <w:rPr>
                <w:rFonts w:ascii="Times New Roman" w:hAnsi="Times New Roman"/>
                <w:b w:val="0"/>
                <w:sz w:val="17"/>
              </w:rPr>
              <w:t>B_t</w:t>
            </w:r>
          </w:p>
        </w:tc>
        <w:tc>
          <w:tcPr>
            <w:tcW w:type="dxa" w:w="7343"/>
            <w:vAlign w:val="center"/>
          </w:tcPr>
          <w:p>
            <w:pPr>
              <w:spacing w:before="0" w:after="0" w:line="240" w:lineRule="auto"/>
            </w:pPr>
            <w:r>
              <w:rPr>
                <w:rFonts w:ascii="Times New Roman" w:hAnsi="Times New Roman"/>
                <w:b w:val="0"/>
                <w:sz w:val="17"/>
              </w:rPr>
              <w:t>vector resource budget</w:t>
            </w:r>
          </w:p>
        </w:tc>
      </w:tr>
      <w:tr>
        <w:tc>
          <w:tcPr>
            <w:tcW w:type="dxa" w:w="2448"/>
            <w:vAlign w:val="center"/>
          </w:tcPr>
          <w:p>
            <w:pPr>
              <w:spacing w:before="0" w:after="0" w:line="240" w:lineRule="auto"/>
            </w:pPr>
            <w:r>
              <w:rPr>
                <w:rFonts w:ascii="Times New Roman" w:hAnsi="Times New Roman"/>
                <w:b w:val="0"/>
                <w:sz w:val="17"/>
              </w:rPr>
              <w:t>ell_t</w:t>
            </w:r>
          </w:p>
        </w:tc>
        <w:tc>
          <w:tcPr>
            <w:tcW w:type="dxa" w:w="7343"/>
            <w:vAlign w:val="center"/>
          </w:tcPr>
          <w:p>
            <w:pPr>
              <w:spacing w:before="0" w:after="0" w:line="240" w:lineRule="auto"/>
            </w:pPr>
            <w:r>
              <w:rPr>
                <w:rFonts w:ascii="Times New Roman" w:hAnsi="Times New Roman"/>
                <w:b w:val="0"/>
                <w:sz w:val="17"/>
              </w:rPr>
              <w:t>archive novelty/admission threshold</w:t>
            </w:r>
          </w:p>
        </w:tc>
      </w:tr>
      <w:tr>
        <w:tc>
          <w:tcPr>
            <w:tcW w:type="dxa" w:w="2448"/>
            <w:vAlign w:val="center"/>
          </w:tcPr>
          <w:p>
            <w:pPr>
              <w:spacing w:before="0" w:after="0" w:line="240" w:lineRule="auto"/>
            </w:pPr>
            <w:r>
              <w:rPr>
                <w:rFonts w:ascii="Times New Roman" w:hAnsi="Times New Roman"/>
                <w:b w:val="0"/>
                <w:sz w:val="17"/>
              </w:rPr>
              <w:t>C_t</w:t>
            </w:r>
          </w:p>
        </w:tc>
        <w:tc>
          <w:tcPr>
            <w:tcW w:type="dxa" w:w="7343"/>
            <w:vAlign w:val="center"/>
          </w:tcPr>
          <w:p>
            <w:pPr>
              <w:spacing w:before="0" w:after="0" w:line="240" w:lineRule="auto"/>
            </w:pPr>
            <w:r>
              <w:rPr>
                <w:rFonts w:ascii="Times New Roman" w:hAnsi="Times New Roman"/>
                <w:b w:val="0"/>
                <w:sz w:val="17"/>
              </w:rPr>
              <w:t>candidate pool</w:t>
            </w:r>
          </w:p>
        </w:tc>
      </w:tr>
      <w:tr>
        <w:tc>
          <w:tcPr>
            <w:tcW w:type="dxa" w:w="2448"/>
            <w:vAlign w:val="center"/>
          </w:tcPr>
          <w:p>
            <w:pPr>
              <w:spacing w:before="0" w:after="0" w:line="240" w:lineRule="auto"/>
            </w:pPr>
            <w:r>
              <w:rPr>
                <w:rFonts w:ascii="Times New Roman" w:hAnsi="Times New Roman"/>
                <w:b w:val="0"/>
                <w:sz w:val="17"/>
              </w:rPr>
              <w:t>A_t</w:t>
            </w:r>
          </w:p>
        </w:tc>
        <w:tc>
          <w:tcPr>
            <w:tcW w:type="dxa" w:w="7343"/>
            <w:vAlign w:val="center"/>
          </w:tcPr>
          <w:p>
            <w:pPr>
              <w:spacing w:before="0" w:after="0" w:line="240" w:lineRule="auto"/>
            </w:pPr>
            <w:r>
              <w:rPr>
                <w:rFonts w:ascii="Times New Roman" w:hAnsi="Times New Roman"/>
                <w:b w:val="0"/>
                <w:sz w:val="17"/>
              </w:rPr>
              <w:t>active archive</w:t>
            </w:r>
          </w:p>
        </w:tc>
      </w:tr>
      <w:tr>
        <w:tc>
          <w:tcPr>
            <w:tcW w:type="dxa" w:w="2448"/>
            <w:vAlign w:val="center"/>
          </w:tcPr>
          <w:p>
            <w:pPr>
              <w:spacing w:before="0" w:after="0" w:line="240" w:lineRule="auto"/>
            </w:pPr>
            <w:r>
              <w:rPr>
                <w:rFonts w:ascii="Times New Roman" w:hAnsi="Times New Roman"/>
                <w:b w:val="0"/>
                <w:sz w:val="17"/>
              </w:rPr>
              <w:t>D_t</w:t>
            </w:r>
          </w:p>
        </w:tc>
        <w:tc>
          <w:tcPr>
            <w:tcW w:type="dxa" w:w="7343"/>
            <w:vAlign w:val="center"/>
          </w:tcPr>
          <w:p>
            <w:pPr>
              <w:spacing w:before="0" w:after="0" w:line="240" w:lineRule="auto"/>
            </w:pPr>
            <w:r>
              <w:rPr>
                <w:rFonts w:ascii="Times New Roman" w:hAnsi="Times New Roman"/>
                <w:b w:val="0"/>
                <w:sz w:val="17"/>
              </w:rPr>
              <w:t>dormant archive</w:t>
            </w:r>
          </w:p>
        </w:tc>
      </w:tr>
      <w:tr>
        <w:tc>
          <w:tcPr>
            <w:tcW w:type="dxa" w:w="2448"/>
            <w:vAlign w:val="center"/>
          </w:tcPr>
          <w:p>
            <w:pPr>
              <w:spacing w:before="0" w:after="0" w:line="240" w:lineRule="auto"/>
            </w:pPr>
            <w:r>
              <w:rPr>
                <w:rFonts w:ascii="Times New Roman" w:hAnsi="Times New Roman"/>
                <w:b w:val="0"/>
                <w:sz w:val="17"/>
              </w:rPr>
              <w:t>Q_t</w:t>
            </w:r>
          </w:p>
        </w:tc>
        <w:tc>
          <w:tcPr>
            <w:tcW w:type="dxa" w:w="7343"/>
            <w:vAlign w:val="center"/>
          </w:tcPr>
          <w:p>
            <w:pPr>
              <w:spacing w:before="0" w:after="0" w:line="240" w:lineRule="auto"/>
            </w:pPr>
            <w:r>
              <w:rPr>
                <w:rFonts w:ascii="Times New Roman" w:hAnsi="Times New Roman"/>
                <w:b w:val="0"/>
                <w:sz w:val="17"/>
              </w:rPr>
              <w:t>speculative quarantine</w:t>
            </w:r>
          </w:p>
        </w:tc>
      </w:tr>
      <w:tr>
        <w:tc>
          <w:tcPr>
            <w:tcW w:type="dxa" w:w="2448"/>
            <w:vAlign w:val="center"/>
          </w:tcPr>
          <w:p>
            <w:pPr>
              <w:spacing w:before="0" w:after="0" w:line="240" w:lineRule="auto"/>
            </w:pPr>
            <w:r>
              <w:rPr>
                <w:rFonts w:ascii="Times New Roman" w:hAnsi="Times New Roman"/>
                <w:b w:val="0"/>
                <w:sz w:val="17"/>
              </w:rPr>
              <w:t>E_t^eq</w:t>
            </w:r>
          </w:p>
        </w:tc>
        <w:tc>
          <w:tcPr>
            <w:tcW w:type="dxa" w:w="7343"/>
            <w:vAlign w:val="center"/>
          </w:tcPr>
          <w:p>
            <w:pPr>
              <w:spacing w:before="0" w:after="0" w:line="240" w:lineRule="auto"/>
            </w:pPr>
            <w:r>
              <w:rPr>
                <w:rFonts w:ascii="Times New Roman" w:hAnsi="Times New Roman"/>
                <w:b w:val="0"/>
                <w:sz w:val="17"/>
              </w:rPr>
              <w:t>equivalence/compression index (when ambiguity with evidence matters)</w:t>
            </w:r>
          </w:p>
        </w:tc>
      </w:tr>
      <w:tr>
        <w:tc>
          <w:tcPr>
            <w:tcW w:type="dxa" w:w="2448"/>
            <w:vAlign w:val="center"/>
          </w:tcPr>
          <w:p>
            <w:pPr>
              <w:spacing w:before="0" w:after="0" w:line="240" w:lineRule="auto"/>
            </w:pPr>
            <w:r>
              <w:rPr>
                <w:rFonts w:ascii="Times New Roman" w:hAnsi="Times New Roman"/>
                <w:b w:val="0"/>
                <w:sz w:val="17"/>
              </w:rPr>
              <w:t>G_t^H</w:t>
            </w:r>
          </w:p>
        </w:tc>
        <w:tc>
          <w:tcPr>
            <w:tcW w:type="dxa" w:w="7343"/>
            <w:vAlign w:val="center"/>
          </w:tcPr>
          <w:p>
            <w:pPr>
              <w:spacing w:before="0" w:after="0" w:line="240" w:lineRule="auto"/>
            </w:pPr>
            <w:r>
              <w:rPr>
                <w:rFonts w:ascii="Times New Roman" w:hAnsi="Times New Roman"/>
                <w:b w:val="0"/>
                <w:sz w:val="17"/>
              </w:rPr>
              <w:t>provenance DAG</w:t>
            </w:r>
          </w:p>
        </w:tc>
      </w:tr>
      <w:tr>
        <w:tc>
          <w:tcPr>
            <w:tcW w:type="dxa" w:w="2448"/>
            <w:vAlign w:val="center"/>
          </w:tcPr>
          <w:p>
            <w:pPr>
              <w:spacing w:before="0" w:after="0" w:line="240" w:lineRule="auto"/>
            </w:pPr>
            <w:r>
              <w:rPr>
                <w:rFonts w:ascii="Times New Roman" w:hAnsi="Times New Roman"/>
                <w:b w:val="0"/>
                <w:sz w:val="17"/>
              </w:rPr>
              <w:t>beta_t</w:t>
            </w:r>
          </w:p>
        </w:tc>
        <w:tc>
          <w:tcPr>
            <w:tcW w:type="dxa" w:w="7343"/>
            <w:vAlign w:val="center"/>
          </w:tcPr>
          <w:p>
            <w:pPr>
              <w:spacing w:before="0" w:after="0" w:line="240" w:lineRule="auto"/>
            </w:pPr>
            <w:r>
              <w:rPr>
                <w:rFonts w:ascii="Times New Roman" w:hAnsi="Times New Roman"/>
                <w:b w:val="0"/>
                <w:sz w:val="17"/>
              </w:rPr>
              <w:t>behavior descriptor map</w:t>
            </w:r>
          </w:p>
        </w:tc>
      </w:tr>
      <w:tr>
        <w:tc>
          <w:tcPr>
            <w:tcW w:type="dxa" w:w="2448"/>
            <w:vAlign w:val="center"/>
          </w:tcPr>
          <w:p>
            <w:pPr>
              <w:spacing w:before="0" w:after="0" w:line="240" w:lineRule="auto"/>
            </w:pPr>
            <w:r>
              <w:rPr>
                <w:rFonts w:ascii="Times New Roman" w:hAnsi="Times New Roman"/>
                <w:b w:val="0"/>
                <w:sz w:val="17"/>
              </w:rPr>
              <w:t>nu(h|A)</w:t>
            </w:r>
          </w:p>
        </w:tc>
        <w:tc>
          <w:tcPr>
            <w:tcW w:type="dxa" w:w="7343"/>
            <w:vAlign w:val="center"/>
          </w:tcPr>
          <w:p>
            <w:pPr>
              <w:spacing w:before="0" w:after="0" w:line="240" w:lineRule="auto"/>
            </w:pPr>
            <w:r>
              <w:rPr>
                <w:rFonts w:ascii="Times New Roman" w:hAnsi="Times New Roman"/>
                <w:b w:val="0"/>
                <w:sz w:val="17"/>
              </w:rPr>
              <w:t>behavioral novelty</w:t>
            </w:r>
          </w:p>
        </w:tc>
      </w:tr>
      <w:tr>
        <w:tc>
          <w:tcPr>
            <w:tcW w:type="dxa" w:w="2448"/>
            <w:vAlign w:val="center"/>
          </w:tcPr>
          <w:p>
            <w:pPr>
              <w:spacing w:before="0" w:after="0" w:line="240" w:lineRule="auto"/>
            </w:pPr>
            <w:r>
              <w:rPr>
                <w:rFonts w:ascii="Times New Roman" w:hAnsi="Times New Roman"/>
                <w:b w:val="0"/>
                <w:sz w:val="17"/>
              </w:rPr>
              <w:t>Cov_epsilon(A)</w:t>
            </w:r>
          </w:p>
        </w:tc>
        <w:tc>
          <w:tcPr>
            <w:tcW w:type="dxa" w:w="7343"/>
            <w:vAlign w:val="center"/>
          </w:tcPr>
          <w:p>
            <w:pPr>
              <w:spacing w:before="0" w:after="0" w:line="240" w:lineRule="auto"/>
            </w:pPr>
            <w:r>
              <w:rPr>
                <w:rFonts w:ascii="Times New Roman" w:hAnsi="Times New Roman"/>
                <w:b w:val="0"/>
                <w:sz w:val="17"/>
              </w:rPr>
              <w:t>declared behavioral coverage</w:t>
            </w:r>
          </w:p>
        </w:tc>
      </w:tr>
    </w:tbl>
    <w:bookmarkEnd w:id="75"/>
    <w:bookmarkStart w:id="76" w:name="appendix-b.-reference-interface-schema"/>
    <w:p>
      <w:pPr>
        <w:pStyle w:val="Heading1"/>
        <w:keepNext/>
      </w:pPr>
      <w:r>
        <w:t xml:space="preserve">Appendix B. Reference interface schema</w:t>
      </w:r>
    </w:p>
    <w:p>
      <w:pPr>
        <w:pStyle w:val="FirstParagraph"/>
      </w:pPr>
      <w:r>
        <w:t xml:space="preserve">A language-neutral hypothesis record should minimally expose:</w:t>
      </w:r>
    </w:p>
    <w:p>
      <w:pPr>
        <w:pStyle w:val="SourceCode"/>
        <w:spacing w:before="60" w:after="60"/>
        <w:ind w:left="360" w:right="216"/>
      </w:pPr>
      <w:r>
        <w:rPr>
          <w:rStyle w:val="VerbatimChar"/>
          <w:rFonts w:ascii="DejaVu Sans Mono" w:hAnsi="DejaVu Sans Mono"/>
          <w:sz w:val="17"/>
        </w:rPr>
        <w:t xml:space="preserve">Hypothesis {</w:t>
      </w:r>
      <w:r>
        <w:rPr>
          <w:rFonts w:ascii="DejaVu Sans Mono" w:hAnsi="DejaVu Sans Mono"/>
          <w:sz w:val="17"/>
        </w:rPr>
        <w:br/>
      </w:r>
      <w:r>
        <w:rPr>
          <w:rStyle w:val="VerbatimChar"/>
          <w:rFonts w:ascii="DejaVu Sans Mono" w:hAnsi="DejaVu Sans Mono"/>
          <w:sz w:val="17"/>
        </w:rPr>
        <w:t xml:space="preserve">  id: immutable content/version identifier</w:t>
      </w:r>
      <w:r>
        <w:rPr>
          <w:rFonts w:ascii="DejaVu Sans Mono" w:hAnsi="DejaVu Sans Mono"/>
          <w:sz w:val="17"/>
        </w:rPr>
        <w:br/>
      </w:r>
      <w:r>
        <w:rPr>
          <w:rStyle w:val="VerbatimChar"/>
          <w:rFonts w:ascii="DejaVu Sans Mono" w:hAnsi="DejaVu Sans Mono"/>
          <w:sz w:val="17"/>
        </w:rPr>
        <w:t xml:space="preserve">  family: ModelFamily</w:t>
      </w:r>
      <w:r>
        <w:rPr>
          <w:rFonts w:ascii="DejaVu Sans Mono" w:hAnsi="DejaVu Sans Mono"/>
          <w:sz w:val="17"/>
        </w:rPr>
        <w:br/>
      </w:r>
      <w:r>
        <w:rPr>
          <w:rStyle w:val="VerbatimChar"/>
          <w:rFonts w:ascii="DejaVu Sans Mono" w:hAnsi="DejaVu Sans Mono"/>
          <w:sz w:val="17"/>
        </w:rPr>
        <w:t xml:space="preserve">  executable_model_ref: artifact identifier</w:t>
      </w:r>
      <w:r>
        <w:rPr>
          <w:rFonts w:ascii="DejaVu Sans Mono" w:hAnsi="DejaVu Sans Mono"/>
          <w:sz w:val="17"/>
        </w:rPr>
        <w:br/>
      </w:r>
      <w:r>
        <w:rPr>
          <w:rStyle w:val="VerbatimChar"/>
          <w:rFonts w:ascii="DejaVu Sans Mono" w:hAnsi="DejaVu Sans Mono"/>
          <w:sz w:val="17"/>
        </w:rPr>
        <w:t xml:space="preserve">  variables: typed schema</w:t>
      </w:r>
      <w:r>
        <w:rPr>
          <w:rFonts w:ascii="DejaVu Sans Mono" w:hAnsi="DejaVu Sans Mono"/>
          <w:sz w:val="17"/>
        </w:rPr>
        <w:br/>
      </w:r>
      <w:r>
        <w:rPr>
          <w:rStyle w:val="VerbatimChar"/>
          <w:rFonts w:ascii="DejaVu Sans Mono" w:hAnsi="DejaVu Sans Mono"/>
          <w:sz w:val="17"/>
        </w:rPr>
        <w:t xml:space="preserve">  assumptions: list[Assumption]</w:t>
      </w:r>
      <w:r>
        <w:rPr>
          <w:rFonts w:ascii="DejaVu Sans Mono" w:hAnsi="DejaVu Sans Mono"/>
          <w:sz w:val="17"/>
        </w:rPr>
        <w:br/>
      </w:r>
      <w:r>
        <w:rPr>
          <w:rStyle w:val="VerbatimChar"/>
          <w:rFonts w:ascii="DejaVu Sans Mono" w:hAnsi="DejaVu Sans Mono"/>
          <w:sz w:val="17"/>
        </w:rPr>
        <w:t xml:space="preserve">  temporal_semantics: TemporalSpec</w:t>
      </w:r>
      <w:r>
        <w:rPr>
          <w:rFonts w:ascii="DejaVu Sans Mono" w:hAnsi="DejaVu Sans Mono"/>
          <w:sz w:val="17"/>
        </w:rPr>
        <w:br/>
      </w:r>
      <w:r>
        <w:rPr>
          <w:rStyle w:val="VerbatimChar"/>
          <w:rFonts w:ascii="DejaVu Sans Mono" w:hAnsi="DejaVu Sans Mono"/>
          <w:sz w:val="17"/>
        </w:rPr>
        <w:t xml:space="preserve">  predictive_interface: PredictDistribution</w:t>
      </w:r>
      <w:r>
        <w:rPr>
          <w:rFonts w:ascii="DejaVu Sans Mono" w:hAnsi="DejaVu Sans Mono"/>
          <w:sz w:val="17"/>
        </w:rPr>
        <w:br/>
      </w:r>
      <w:r>
        <w:rPr>
          <w:rStyle w:val="VerbatimChar"/>
          <w:rFonts w:ascii="DejaVu Sans Mono" w:hAnsi="DejaVu Sans Mono"/>
          <w:sz w:val="17"/>
        </w:rPr>
        <w:t xml:space="preserve">  intervention_interface?: Intervene</w:t>
      </w:r>
      <w:r>
        <w:rPr>
          <w:rFonts w:ascii="DejaVu Sans Mono" w:hAnsi="DejaVu Sans Mono"/>
          <w:sz w:val="17"/>
        </w:rPr>
        <w:br/>
      </w:r>
      <w:r>
        <w:rPr>
          <w:rStyle w:val="VerbatimChar"/>
          <w:rFonts w:ascii="DejaVu Sans Mono" w:hAnsi="DejaVu Sans Mono"/>
          <w:sz w:val="17"/>
        </w:rPr>
        <w:t xml:space="preserve">  counterfactual_interface?: Counterfactual</w:t>
      </w:r>
      <w:r>
        <w:rPr>
          <w:rFonts w:ascii="DejaVu Sans Mono" w:hAnsi="DejaVu Sans Mono"/>
          <w:sz w:val="17"/>
        </w:rPr>
        <w:br/>
      </w:r>
      <w:r>
        <w:rPr>
          <w:rStyle w:val="VerbatimChar"/>
          <w:rFonts w:ascii="DejaVu Sans Mono" w:hAnsi="DejaVu Sans Mono"/>
          <w:sz w:val="17"/>
        </w:rPr>
        <w:t xml:space="preserve">  testability_class: T1 | T2 | T3 | T4 | T5</w:t>
      </w:r>
      <w:r>
        <w:rPr>
          <w:rFonts w:ascii="DejaVu Sans Mono" w:hAnsi="DejaVu Sans Mono"/>
          <w:sz w:val="17"/>
        </w:rPr>
        <w:br/>
      </w:r>
      <w:r>
        <w:rPr>
          <w:rStyle w:val="VerbatimChar"/>
          <w:rFonts w:ascii="DejaVu Sans Mono" w:hAnsi="DejaVu Sans Mono"/>
          <w:sz w:val="17"/>
        </w:rPr>
        <w:t xml:space="preserve">  implications: list[TestableImplication]</w:t>
      </w:r>
      <w:r>
        <w:rPr>
          <w:rFonts w:ascii="DejaVu Sans Mono" w:hAnsi="DejaVu Sans Mono"/>
          <w:sz w:val="17"/>
        </w:rPr>
        <w:br/>
      </w:r>
      <w:r>
        <w:rPr>
          <w:rStyle w:val="VerbatimChar"/>
          <w:rFonts w:ascii="DejaVu Sans Mono" w:hAnsi="DejaVu Sans Mono"/>
          <w:sz w:val="17"/>
        </w:rPr>
        <w:t xml:space="preserve">  identification_status: IdentificationStatus</w:t>
      </w:r>
      <w:r>
        <w:rPr>
          <w:rFonts w:ascii="DejaVu Sans Mono" w:hAnsi="DejaVu Sans Mono"/>
          <w:sz w:val="17"/>
        </w:rPr>
        <w:br/>
      </w:r>
      <w:r>
        <w:rPr>
          <w:rStyle w:val="VerbatimChar"/>
          <w:rFonts w:ascii="DejaVu Sans Mono" w:hAnsi="DejaVu Sans Mono"/>
          <w:sz w:val="17"/>
        </w:rPr>
        <w:t xml:space="preserve">  provenance_ref: ProvenanceNodeID</w:t>
      </w:r>
      <w:r>
        <w:rPr>
          <w:rFonts w:ascii="DejaVu Sans Mono" w:hAnsi="DejaVu Sans Mono"/>
          <w:sz w:val="17"/>
        </w:rPr>
        <w:br/>
      </w:r>
      <w:r>
        <w:rPr>
          <w:rStyle w:val="VerbatimChar"/>
          <w:rFonts w:ascii="DejaVu Sans Mono" w:hAnsi="DejaVu Sans Mono"/>
          <w:sz w:val="17"/>
        </w:rPr>
        <w:t xml:space="preserve">  generation_cost: ResourceVector</w:t>
      </w:r>
      <w:r>
        <w:rPr>
          <w:rFonts w:ascii="DejaVu Sans Mono" w:hAnsi="DejaVu Sans Mono"/>
          <w:sz w:val="17"/>
        </w:rPr>
        <w:br/>
      </w:r>
      <w:r>
        <w:rPr>
          <w:rStyle w:val="VerbatimChar"/>
          <w:rFonts w:ascii="DejaVu Sans Mono" w:hAnsi="DejaVu Sans Mono"/>
          <w:sz w:val="17"/>
        </w:rPr>
        <w:t xml:space="preserve">  equivalence_tags: list[EquivalenceClassRef]</w:t>
      </w:r>
      <w:r>
        <w:rPr>
          <w:rFonts w:ascii="DejaVu Sans Mono" w:hAnsi="DejaVu Sans Mono"/>
          <w:sz w:val="17"/>
        </w:rPr>
        <w:br/>
      </w:r>
      <w:r>
        <w:rPr>
          <w:rStyle w:val="VerbatimChar"/>
          <w:rFonts w:ascii="DejaVu Sans Mono" w:hAnsi="DejaVu Sans Mono"/>
          <w:sz w:val="17"/>
        </w:rPr>
        <w:t xml:space="preserve">  internal_uncertainty?: ModelInternalUncertainty</w:t>
      </w:r>
      <w:r>
        <w:rPr>
          <w:rFonts w:ascii="DejaVu Sans Mono" w:hAnsi="DejaVu Sans Mono"/>
          <w:sz w:val="17"/>
        </w:rPr>
        <w:br/>
      </w:r>
      <w:r>
        <w:rPr>
          <w:rStyle w:val="VerbatimChar"/>
          <w:rFonts w:ascii="DejaVu Sans Mono" w:hAnsi="DejaVu Sans Mono"/>
          <w:sz w:val="17"/>
        </w:rPr>
        <w:t xml:space="preserve">}</w:t>
      </w:r>
    </w:p>
    <w:p>
      <w:pPr>
        <w:pStyle w:val="FirstParagraph"/>
      </w:pPr>
      <w:r>
        <w:t xml:space="preserve">The record intentionally contains no</w:t>
      </w:r>
      <w:r>
        <w:t xml:space="preserve"> </w:t>
      </w:r>
      <w:r>
        <w:rPr>
          <w:rStyle w:val="VerbatimChar"/>
        </w:rPr>
        <w:t xml:space="preserve">belief_weight</w:t>
      </w:r>
      <w:r>
        <w:t xml:space="preserve">,</w:t>
      </w:r>
      <w:r>
        <w:t xml:space="preserve"> </w:t>
      </w:r>
      <w:r>
        <w:rPr>
          <w:rStyle w:val="VerbatimChar"/>
        </w:rPr>
        <w:t xml:space="preserve">confidence_from_DHD</w:t>
      </w:r>
      <w:r>
        <w:t xml:space="preserve">,</w:t>
      </w:r>
      <w:r>
        <w:t xml:space="preserve"> </w:t>
      </w:r>
      <w:r>
        <w:rPr>
          <w:rStyle w:val="VerbatimChar"/>
        </w:rPr>
        <w:t xml:space="preserve">TradeIntent</w:t>
      </w:r>
      <w:r>
        <w:t xml:space="preserve">, direction, size, order, or execution field.</w:t>
      </w:r>
    </w:p>
    <w:bookmarkEnd w:id="76"/>
    <w:bookmarkStart w:id="77" w:name="appendix-c.-theorem-and-claim-audit"/>
    <w:p>
      <w:pPr>
        <w:pStyle w:val="Heading1"/>
        <w:keepNext/>
      </w:pPr>
      <w:r>
        <w:t xml:space="preserve">Appendix C. Theorem and claim audit</w:t>
      </w:r>
    </w:p>
    <w:tbl>
      <w:tblPr>
        <w:tblStyle w:val="TableGrid"/>
        <w:tblW w:type="pct" w:w="5000"/>
        <w:jc w:val="center"/>
        <w:tblLayout w:type="fixed"/>
        <w:tblLook w:firstRow="1" w:lastRow="0" w:firstColumn="0" w:lastColumn="0" w:noHBand="0" w:noVBand="0" w:val="0020"/>
      </w:tblPr>
      <w:tblGrid>
        <w:gridCol w:w="3960"/>
        <w:gridCol w:w="3960"/>
      </w:tblGrid>
      <w:tr>
        <w:trPr>
          <w:tblHeader w:val="true"/>
        </w:trPr>
        <w:tc>
          <w:tcPr>
            <w:tcW w:type="dxa" w:w="2448"/>
            <w:vAlign w:val="center"/>
            <w:shd w:fill="EAF1F8"/>
          </w:tcPr>
          <w:p>
            <w:pPr>
              <w:spacing w:before="0" w:after="0" w:line="240" w:lineRule="auto"/>
            </w:pPr>
            <w:r>
              <w:rPr>
                <w:rFonts w:ascii="Times New Roman" w:hAnsi="Times New Roman"/>
                <w:b/>
                <w:sz w:val="17"/>
              </w:rPr>
              <w:t>Claim from research stage</w:t>
            </w:r>
          </w:p>
        </w:tc>
        <w:tc>
          <w:tcPr>
            <w:tcW w:type="dxa" w:w="7343"/>
            <w:vAlign w:val="center"/>
            <w:shd w:fill="EAF1F8"/>
          </w:tcPr>
          <w:p>
            <w:pPr>
              <w:spacing w:before="0" w:after="0" w:line="240" w:lineRule="auto"/>
            </w:pPr>
            <w:r>
              <w:rPr>
                <w:rFonts w:ascii="Times New Roman" w:hAnsi="Times New Roman"/>
                <w:b/>
                <w:sz w:val="17"/>
              </w:rPr>
              <w:t>Final disposition</w:t>
            </w:r>
          </w:p>
        </w:tc>
      </w:tr>
      <w:tr>
        <w:tc>
          <w:tcPr>
            <w:tcW w:type="dxa" w:w="2448"/>
            <w:vAlign w:val="center"/>
          </w:tcPr>
          <w:p>
            <w:pPr>
              <w:spacing w:before="0" w:after="0" w:line="240" w:lineRule="auto"/>
            </w:pPr>
            <w:r>
              <w:rPr>
                <w:rFonts w:ascii="Times New Roman" w:hAnsi="Times New Roman"/>
                <w:b w:val="0"/>
                <w:sz w:val="17"/>
              </w:rPr>
              <w:t>scalar J_DHD = alpha N + beta D + gamma U + delta C - eta R</w:t>
            </w:r>
          </w:p>
        </w:tc>
        <w:tc>
          <w:tcPr>
            <w:tcW w:type="dxa" w:w="7343"/>
            <w:vAlign w:val="center"/>
          </w:tcPr>
          <w:p>
            <w:pPr>
              <w:spacing w:before="0" w:after="0" w:line="240" w:lineRule="auto"/>
            </w:pPr>
            <w:r>
              <w:rPr>
                <w:rFonts w:ascii="Times New Roman" w:hAnsi="Times New Roman"/>
                <w:b w:val="0"/>
                <w:sz w:val="17"/>
              </w:rPr>
              <w:t>rejected: arbitrary commensuration and population inflation</w:t>
            </w:r>
          </w:p>
        </w:tc>
      </w:tr>
      <w:tr>
        <w:tc>
          <w:tcPr>
            <w:tcW w:type="dxa" w:w="2448"/>
            <w:vAlign w:val="center"/>
          </w:tcPr>
          <w:p>
            <w:pPr>
              <w:spacing w:before="0" w:after="0" w:line="240" w:lineRule="auto"/>
            </w:pPr>
            <w:r>
              <w:rPr>
                <w:rFonts w:ascii="Times New Roman" w:hAnsi="Times New Roman"/>
                <w:b w:val="0"/>
                <w:sz w:val="17"/>
              </w:rPr>
              <w:t>scalar rho^D as universal divergence control</w:t>
            </w:r>
          </w:p>
        </w:tc>
        <w:tc>
          <w:tcPr>
            <w:tcW w:type="dxa" w:w="7343"/>
            <w:vAlign w:val="center"/>
          </w:tcPr>
          <w:p>
            <w:pPr>
              <w:spacing w:before="0" w:after="0" w:line="240" w:lineRule="auto"/>
            </w:pPr>
            <w:r>
              <w:rPr>
                <w:rFonts w:ascii="Times New Roman" w:hAnsi="Times New Roman"/>
                <w:b w:val="0"/>
                <w:sz w:val="17"/>
              </w:rPr>
              <w:t>rejected: under-parameterized</w:t>
            </w:r>
          </w:p>
        </w:tc>
      </w:tr>
      <w:tr>
        <w:tc>
          <w:tcPr>
            <w:tcW w:type="dxa" w:w="2448"/>
            <w:vAlign w:val="center"/>
          </w:tcPr>
          <w:p>
            <w:pPr>
              <w:spacing w:before="0" w:after="0" w:line="240" w:lineRule="auto"/>
            </w:pPr>
            <w:r>
              <w:rPr>
                <w:rFonts w:ascii="Times New Roman" w:hAnsi="Times New Roman"/>
                <w:b w:val="0"/>
                <w:sz w:val="17"/>
              </w:rPr>
              <w:t>weighted global d_H as canonical metric</w:t>
            </w:r>
          </w:p>
        </w:tc>
        <w:tc>
          <w:tcPr>
            <w:tcW w:type="dxa" w:w="7343"/>
            <w:vAlign w:val="center"/>
          </w:tcPr>
          <w:p>
            <w:pPr>
              <w:spacing w:before="0" w:after="0" w:line="240" w:lineRule="auto"/>
            </w:pPr>
            <w:r>
              <w:rPr>
                <w:rFonts w:ascii="Times New Roman" w:hAnsi="Times New Roman"/>
                <w:b w:val="0"/>
                <w:sz w:val="17"/>
              </w:rPr>
              <w:t>rejected: multi-view profile retained</w:t>
            </w:r>
          </w:p>
        </w:tc>
      </w:tr>
      <w:tr>
        <w:tc>
          <w:tcPr>
            <w:tcW w:type="dxa" w:w="2448"/>
            <w:vAlign w:val="center"/>
          </w:tcPr>
          <w:p>
            <w:pPr>
              <w:spacing w:before="0" w:after="0" w:line="240" w:lineRule="auto"/>
            </w:pPr>
            <w:r>
              <w:rPr>
                <w:rFonts w:ascii="Times New Roman" w:hAnsi="Times New Roman"/>
                <w:b w:val="0"/>
                <w:sz w:val="17"/>
              </w:rPr>
              <w:t>Gaussian kernel from arbitrary d is PSD</w:t>
            </w:r>
          </w:p>
        </w:tc>
        <w:tc>
          <w:tcPr>
            <w:tcW w:type="dxa" w:w="7343"/>
            <w:vAlign w:val="center"/>
          </w:tcPr>
          <w:p>
            <w:pPr>
              <w:spacing w:before="0" w:after="0" w:line="240" w:lineRule="auto"/>
            </w:pPr>
            <w:r>
              <w:rPr>
                <w:rFonts w:ascii="Times New Roman" w:hAnsi="Times New Roman"/>
                <w:b w:val="0"/>
                <w:sz w:val="17"/>
              </w:rPr>
              <w:t>false in general; negative-type conditions required</w:t>
            </w:r>
          </w:p>
        </w:tc>
      </w:tr>
      <w:tr>
        <w:tc>
          <w:tcPr>
            <w:tcW w:type="dxa" w:w="2448"/>
            <w:vAlign w:val="center"/>
          </w:tcPr>
          <w:p>
            <w:pPr>
              <w:spacing w:before="0" w:after="0" w:line="240" w:lineRule="auto"/>
            </w:pPr>
            <w:r>
              <w:rPr>
                <w:rFonts w:ascii="Times New Roman" w:hAnsi="Times New Roman"/>
                <w:b w:val="0"/>
                <w:sz w:val="17"/>
              </w:rPr>
              <w:t>DPP primary archive</w:t>
            </w:r>
          </w:p>
        </w:tc>
        <w:tc>
          <w:tcPr>
            <w:tcW w:type="dxa" w:w="7343"/>
            <w:vAlign w:val="center"/>
          </w:tcPr>
          <w:p>
            <w:pPr>
              <w:spacing w:before="0" w:after="0" w:line="240" w:lineRule="auto"/>
            </w:pPr>
            <w:r>
              <w:rPr>
                <w:rFonts w:ascii="Times New Roman" w:hAnsi="Times New Roman"/>
                <w:b w:val="0"/>
                <w:sz w:val="17"/>
              </w:rPr>
              <w:t>optional candidate-subset mechanism only</w:t>
            </w:r>
          </w:p>
        </w:tc>
      </w:tr>
      <w:tr>
        <w:tc>
          <w:tcPr>
            <w:tcW w:type="dxa" w:w="2448"/>
            <w:vAlign w:val="center"/>
          </w:tcPr>
          <w:p>
            <w:pPr>
              <w:spacing w:before="0" w:after="0" w:line="240" w:lineRule="auto"/>
            </w:pPr>
            <w:r>
              <w:rPr>
                <w:rFonts w:ascii="Times New Roman" w:hAnsi="Times New Roman"/>
                <w:b w:val="0"/>
                <w:sz w:val="17"/>
              </w:rPr>
              <w:t>DPP greedy selection “eliminates redundancy”</w:t>
            </w:r>
          </w:p>
        </w:tc>
        <w:tc>
          <w:tcPr>
            <w:tcW w:type="dxa" w:w="7343"/>
            <w:vAlign w:val="center"/>
          </w:tcPr>
          <w:p>
            <w:pPr>
              <w:spacing w:before="0" w:after="0" w:line="240" w:lineRule="auto"/>
            </w:pPr>
            <w:r>
              <w:rPr>
                <w:rFonts w:ascii="Times New Roman" w:hAnsi="Times New Roman"/>
                <w:b w:val="0"/>
                <w:sz w:val="17"/>
              </w:rPr>
              <w:t>overstated; kernel-dependent and approximate</w:t>
            </w:r>
          </w:p>
        </w:tc>
      </w:tr>
      <w:tr>
        <w:tc>
          <w:tcPr>
            <w:tcW w:type="dxa" w:w="2448"/>
            <w:vAlign w:val="center"/>
          </w:tcPr>
          <w:p>
            <w:pPr>
              <w:spacing w:before="0" w:after="0" w:line="240" w:lineRule="auto"/>
            </w:pPr>
            <w:r>
              <w:rPr>
                <w:rFonts w:ascii="Times New Roman" w:hAnsi="Times New Roman"/>
                <w:b w:val="0"/>
                <w:sz w:val="17"/>
              </w:rPr>
              <w:t>submodular greedy (1 - 1/e)</w:t>
            </w:r>
          </w:p>
        </w:tc>
        <w:tc>
          <w:tcPr>
            <w:tcW w:type="dxa" w:w="7343"/>
            <w:vAlign w:val="center"/>
          </w:tcPr>
          <w:p>
            <w:pPr>
              <w:spacing w:before="0" w:after="0" w:line="240" w:lineRule="auto"/>
            </w:pPr>
            <w:r>
              <w:rPr>
                <w:rFonts w:ascii="Times New Roman" w:hAnsi="Times New Roman"/>
                <w:b w:val="0"/>
                <w:sz w:val="17"/>
              </w:rPr>
              <w:t>retained under theorem assumptions</w:t>
            </w:r>
          </w:p>
        </w:tc>
      </w:tr>
      <w:tr>
        <w:tc>
          <w:tcPr>
            <w:tcW w:type="dxa" w:w="2448"/>
            <w:vAlign w:val="center"/>
          </w:tcPr>
          <w:p>
            <w:pPr>
              <w:spacing w:before="0" w:after="0" w:line="240" w:lineRule="auto"/>
            </w:pPr>
            <w:r>
              <w:rPr>
                <w:rFonts w:ascii="Times New Roman" w:hAnsi="Times New Roman"/>
                <w:b w:val="0"/>
                <w:sz w:val="17"/>
              </w:rPr>
              <w:t>archive size bounded by epsilon packing</w:t>
            </w:r>
          </w:p>
        </w:tc>
        <w:tc>
          <w:tcPr>
            <w:tcW w:type="dxa" w:w="7343"/>
            <w:vAlign w:val="center"/>
          </w:tcPr>
          <w:p>
            <w:pPr>
              <w:spacing w:before="0" w:after="0" w:line="240" w:lineRule="auto"/>
            </w:pPr>
            <w:r>
              <w:rPr>
                <w:rFonts w:ascii="Times New Roman" w:hAnsi="Times New Roman"/>
                <w:b w:val="0"/>
                <w:sz w:val="17"/>
              </w:rPr>
              <w:t>retained under total-boundedness assumption</w:t>
            </w:r>
          </w:p>
        </w:tc>
      </w:tr>
      <w:tr>
        <w:tc>
          <w:tcPr>
            <w:tcW w:type="dxa" w:w="2448"/>
            <w:vAlign w:val="center"/>
          </w:tcPr>
          <w:p>
            <w:pPr>
              <w:spacing w:before="0" w:after="0" w:line="240" w:lineRule="auto"/>
            </w:pPr>
            <w:r>
              <w:rPr>
                <w:rFonts w:ascii="Times New Roman" w:hAnsi="Times New Roman"/>
                <w:b w:val="0"/>
                <w:sz w:val="17"/>
              </w:rPr>
              <w:t>ordinary SMC degeneracy warning</w:t>
            </w:r>
          </w:p>
        </w:tc>
        <w:tc>
          <w:tcPr>
            <w:tcW w:type="dxa" w:w="7343"/>
            <w:vAlign w:val="center"/>
          </w:tcPr>
          <w:p>
            <w:pPr>
              <w:spacing w:before="0" w:after="0" w:line="240" w:lineRule="auto"/>
            </w:pPr>
            <w:r>
              <w:rPr>
                <w:rFonts w:ascii="Times New Roman" w:hAnsi="Times New Roman"/>
                <w:b w:val="0"/>
                <w:sz w:val="17"/>
              </w:rPr>
              <w:t>retained with conditions; DHD is not a posterior SMC process</w:t>
            </w:r>
          </w:p>
        </w:tc>
      </w:tr>
      <w:tr>
        <w:tc>
          <w:tcPr>
            <w:tcW w:type="dxa" w:w="2448"/>
            <w:vAlign w:val="center"/>
          </w:tcPr>
          <w:p>
            <w:pPr>
              <w:spacing w:before="0" w:after="0" w:line="240" w:lineRule="auto"/>
            </w:pPr>
            <w:r>
              <w:rPr>
                <w:rFonts w:ascii="Times New Roman" w:hAnsi="Times New Roman"/>
                <w:b w:val="0"/>
                <w:sz w:val="17"/>
              </w:rPr>
              <w:t>Markov equivalence means full observational identity</w:t>
            </w:r>
          </w:p>
        </w:tc>
        <w:tc>
          <w:tcPr>
            <w:tcW w:type="dxa" w:w="7343"/>
            <w:vAlign w:val="center"/>
          </w:tcPr>
          <w:p>
            <w:pPr>
              <w:spacing w:before="0" w:after="0" w:line="240" w:lineRule="auto"/>
            </w:pPr>
            <w:r>
              <w:rPr>
                <w:rFonts w:ascii="Times New Roman" w:hAnsi="Times New Roman"/>
                <w:b w:val="0"/>
                <w:sz w:val="17"/>
              </w:rPr>
              <w:t>rejected without Markov/faithfulness/no-latent qualifications</w:t>
            </w:r>
          </w:p>
        </w:tc>
      </w:tr>
      <w:tr>
        <w:tc>
          <w:tcPr>
            <w:tcW w:type="dxa" w:w="2448"/>
            <w:vAlign w:val="center"/>
          </w:tcPr>
          <w:p>
            <w:pPr>
              <w:spacing w:before="0" w:after="0" w:line="240" w:lineRule="auto"/>
            </w:pPr>
            <w:r>
              <w:rPr>
                <w:rFonts w:ascii="Times New Roman" w:hAnsi="Times New Roman"/>
                <w:b w:val="0"/>
                <w:sz w:val="17"/>
              </w:rPr>
              <w:t>lineage roots equal independent tests</w:t>
            </w:r>
          </w:p>
        </w:tc>
        <w:tc>
          <w:tcPr>
            <w:tcW w:type="dxa" w:w="7343"/>
            <w:vAlign w:val="center"/>
          </w:tcPr>
          <w:p>
            <w:pPr>
              <w:spacing w:before="0" w:after="0" w:line="240" w:lineRule="auto"/>
            </w:pPr>
            <w:r>
              <w:rPr>
                <w:rFonts w:ascii="Times New Roman" w:hAnsi="Times New Roman"/>
                <w:b w:val="0"/>
                <w:sz w:val="17"/>
              </w:rPr>
              <w:t>rejected</w:t>
            </w:r>
          </w:p>
        </w:tc>
      </w:tr>
      <w:tr>
        <w:tc>
          <w:tcPr>
            <w:tcW w:type="dxa" w:w="2448"/>
            <w:vAlign w:val="center"/>
          </w:tcPr>
          <w:p>
            <w:pPr>
              <w:spacing w:before="0" w:after="0" w:line="240" w:lineRule="auto"/>
            </w:pPr>
            <w:r>
              <w:rPr>
                <w:rFonts w:ascii="Times New Roman" w:hAnsi="Times New Roman"/>
                <w:b w:val="0"/>
                <w:sz w:val="17"/>
              </w:rPr>
              <w:t>global ergodicity of DHD</w:t>
            </w:r>
          </w:p>
        </w:tc>
        <w:tc>
          <w:tcPr>
            <w:tcW w:type="dxa" w:w="7343"/>
            <w:vAlign w:val="center"/>
          </w:tcPr>
          <w:p>
            <w:pPr>
              <w:spacing w:before="0" w:after="0" w:line="240" w:lineRule="auto"/>
            </w:pPr>
            <w:r>
              <w:rPr>
                <w:rFonts w:ascii="Times New Roman" w:hAnsi="Times New Roman"/>
                <w:b w:val="0"/>
                <w:sz w:val="17"/>
              </w:rPr>
              <w:t>open; not required</w:t>
            </w:r>
          </w:p>
        </w:tc>
      </w:tr>
      <w:tr>
        <w:tc>
          <w:tcPr>
            <w:tcW w:type="dxa" w:w="2448"/>
            <w:vAlign w:val="center"/>
          </w:tcPr>
          <w:p>
            <w:pPr>
              <w:spacing w:before="0" w:after="0" w:line="240" w:lineRule="auto"/>
            </w:pPr>
            <w:r>
              <w:rPr>
                <w:rFonts w:ascii="Times New Roman" w:hAnsi="Times New Roman"/>
                <w:b w:val="0"/>
                <w:sz w:val="17"/>
              </w:rPr>
              <w:t>structural diversity improves validated discovery</w:t>
            </w:r>
          </w:p>
        </w:tc>
        <w:tc>
          <w:tcPr>
            <w:tcW w:type="dxa" w:w="7343"/>
            <w:vAlign w:val="center"/>
          </w:tcPr>
          <w:p>
            <w:pPr>
              <w:spacing w:before="0" w:after="0" w:line="240" w:lineRule="auto"/>
            </w:pPr>
            <w:r>
              <w:rPr>
                <w:rFonts w:ascii="Times New Roman" w:hAnsi="Times New Roman"/>
                <w:b w:val="0"/>
                <w:sz w:val="17"/>
              </w:rPr>
              <w:t>empirical hypothesis</w:t>
            </w:r>
          </w:p>
        </w:tc>
      </w:tr>
    </w:tbl>
    <w:bookmarkEnd w:id="77"/>
    <w:bookmarkStart w:id="117" w:name="references"/>
    <w:p>
      <w:pPr>
        <w:pStyle w:val="Heading1"/>
        <w:keepNext/>
      </w:pPr>
      <w:r>
        <w:t xml:space="preserve">References</w:t>
      </w:r>
    </w:p>
    <w:bookmarkStart w:id="116" w:name="refs"/>
    <w:bookmarkStart w:id="79" w:name="ref-lehman2011"/>
    <w:p>
      <w:pPr>
        <w:pStyle w:val="Bibliography"/>
      </w:pPr>
      <w:r>
        <w:t xml:space="preserve">[1]</w:t>
      </w:r>
      <w:r>
        <w:t xml:space="preserve"> </w:t>
      </w:r>
      <w:r>
        <w:t xml:space="preserve">	</w:t>
      </w:r>
      <w:r>
        <w:t xml:space="preserve">J. Lehman and K. O. Stanley,</w:t>
      </w:r>
      <w:r>
        <w:t xml:space="preserve"> </w:t>
      </w:r>
      <w:r>
        <w:t xml:space="preserve">“Abandoning objectives: Evolution through the search for novelty alone,”</w:t>
      </w:r>
      <w:r>
        <w:t xml:space="preserve"> </w:t>
      </w:r>
      <w:r>
        <w:rPr>
          <w:i/>
          <w:iCs/>
        </w:rPr>
        <w:t xml:space="preserve">Evolutionary Computation</w:t>
      </w:r>
      <w:r>
        <w:t xml:space="preserve">, vol. 19, no. 2, pp. 189–223, 2011, doi:</w:t>
      </w:r>
      <w:r>
        <w:t xml:space="preserve"> </w:t>
      </w:r>
      <w:r>
        <w:rPr>
          <w:rStyle w:val="Hyperlink"/>
        </w:rPr>
        <w:t xml:space="preserve">10.1162/EVCO_a_00025</w:t>
      </w:r>
      <w:r>
        <w:t xml:space="preserve">.</w:t>
      </w:r>
    </w:p>
    <w:bookmarkEnd w:id="79"/>
    <w:bookmarkStart w:id="81" w:name="ref-mouret2015"/>
    <w:p>
      <w:pPr>
        <w:pStyle w:val="Bibliography"/>
      </w:pPr>
      <w:r>
        <w:t xml:space="preserve">[2]</w:t>
      </w:r>
      <w:r>
        <w:t xml:space="preserve"> </w:t>
      </w:r>
      <w:r>
        <w:t xml:space="preserve">	</w:t>
      </w:r>
      <w:r>
        <w:t xml:space="preserve">J.-B. Mouret and J. Clune,</w:t>
      </w:r>
      <w:r>
        <w:t xml:space="preserve"> </w:t>
      </w:r>
      <w:r>
        <w:t xml:space="preserve">“Illuminating search spaces by mapping elites.”</w:t>
      </w:r>
      <w:r>
        <w:t xml:space="preserve"> </w:t>
      </w:r>
      <w:r>
        <w:t xml:space="preserve">2015. Available:</w:t>
      </w:r>
      <w:r>
        <w:t xml:space="preserve"> </w:t>
      </w:r>
      <w:r>
        <w:rPr>
          <w:rStyle w:val="Hyperlink"/>
        </w:rPr>
        <w:t xml:space="preserve">https://arxiv.org/abs/1504.04909</w:t>
      </w:r>
    </w:p>
    <w:bookmarkEnd w:id="81"/>
    <w:bookmarkStart w:id="83" w:name="ref-pugh2016"/>
    <w:p>
      <w:pPr>
        <w:pStyle w:val="Bibliography"/>
      </w:pPr>
      <w:r>
        <w:t xml:space="preserve">[3]</w:t>
      </w:r>
      <w:r>
        <w:t xml:space="preserve"> </w:t>
      </w:r>
      <w:r>
        <w:t xml:space="preserve">	</w:t>
      </w:r>
      <w:r>
        <w:t xml:space="preserve">J. K. Pugh, L. B. Soros, and K. O. Stanley,</w:t>
      </w:r>
      <w:r>
        <w:t xml:space="preserve"> </w:t>
      </w:r>
      <w:r>
        <w:t xml:space="preserve">“Quality diversity: A new frontier for evolutionary computation,”</w:t>
      </w:r>
      <w:r>
        <w:t xml:space="preserve"> </w:t>
      </w:r>
      <w:r>
        <w:rPr>
          <w:i/>
          <w:iCs/>
        </w:rPr>
        <w:t xml:space="preserve">Frontiers in Robotics and AI</w:t>
      </w:r>
      <w:r>
        <w:t xml:space="preserve">, vol. 3, p. 40, 2016, doi:</w:t>
      </w:r>
      <w:r>
        <w:t xml:space="preserve"> </w:t>
      </w:r>
      <w:r>
        <w:rPr>
          <w:rStyle w:val="Hyperlink"/>
        </w:rPr>
        <w:t xml:space="preserve">10.3389/frobt.2016.00040</w:t>
      </w:r>
      <w:r>
        <w:t xml:space="preserve">.</w:t>
      </w:r>
    </w:p>
    <w:bookmarkEnd w:id="83"/>
    <w:bookmarkStart w:id="85" w:name="ref-doucet2001"/>
    <w:p>
      <w:pPr>
        <w:pStyle w:val="Bibliography"/>
      </w:pPr>
      <w:r>
        <w:t xml:space="preserve">[4]</w:t>
      </w:r>
      <w:r>
        <w:t xml:space="preserve"> </w:t>
      </w:r>
      <w:r>
        <w:t xml:space="preserve">	</w:t>
      </w:r>
      <w:r>
        <w:t xml:space="preserve">A. Doucet, N. de Freitas, and N. Gordon, Eds.,</w:t>
      </w:r>
      <w:r>
        <w:t xml:space="preserve"> </w:t>
      </w:r>
      <w:r>
        <w:rPr>
          <w:i/>
          <w:iCs/>
        </w:rPr>
        <w:t xml:space="preserve">Sequential monte carlo methods in practice</w:t>
      </w:r>
      <w:r>
        <w:t xml:space="preserve">. Springer, 2001. doi:</w:t>
      </w:r>
      <w:r>
        <w:t xml:space="preserve"> </w:t>
      </w:r>
      <w:r>
        <w:rPr>
          <w:rStyle w:val="Hyperlink"/>
        </w:rPr>
        <w:t xml:space="preserve">10.1007/978-1-4757-3437-9</w:t>
      </w:r>
      <w:r>
        <w:t xml:space="preserve">.</w:t>
      </w:r>
    </w:p>
    <w:bookmarkEnd w:id="85"/>
    <w:bookmarkStart w:id="87" w:name="ref-delmoral2004"/>
    <w:p>
      <w:pPr>
        <w:pStyle w:val="Bibliography"/>
      </w:pPr>
      <w:r>
        <w:t xml:space="preserve">[5]</w:t>
      </w:r>
      <w:r>
        <w:t xml:space="preserve"> </w:t>
      </w:r>
      <w:r>
        <w:t xml:space="preserve">	</w:t>
      </w:r>
      <w:r>
        <w:t xml:space="preserve">P. Del Moral,</w:t>
      </w:r>
      <w:r>
        <w:t xml:space="preserve"> </w:t>
      </w:r>
      <w:r>
        <w:rPr>
          <w:i/>
          <w:iCs/>
        </w:rPr>
        <w:t xml:space="preserve">Feynman-kac formulae: Genealogical and interacting particle systems with applications</w:t>
      </w:r>
      <w:r>
        <w:t xml:space="preserve">. Springer, 2004. doi:</w:t>
      </w:r>
      <w:r>
        <w:t xml:space="preserve"> </w:t>
      </w:r>
      <w:r>
        <w:rPr>
          <w:rStyle w:val="Hyperlink"/>
        </w:rPr>
        <w:t xml:space="preserve">10.1007/978-1-4684-9393-1</w:t>
      </w:r>
      <w:r>
        <w:t xml:space="preserve">.</w:t>
      </w:r>
    </w:p>
    <w:bookmarkEnd w:id="87"/>
    <w:bookmarkStart w:id="88" w:name="ref-pearl2009"/>
    <w:p>
      <w:pPr>
        <w:pStyle w:val="Bibliography"/>
      </w:pPr>
      <w:r>
        <w:t xml:space="preserve">[6]</w:t>
      </w:r>
      <w:r>
        <w:t xml:space="preserve"> </w:t>
      </w:r>
      <w:r>
        <w:t xml:space="preserve">	</w:t>
      </w:r>
      <w:r>
        <w:t xml:space="preserve">J. Pearl,</w:t>
      </w:r>
      <w:r>
        <w:t xml:space="preserve"> </w:t>
      </w:r>
      <w:r>
        <w:rPr>
          <w:i/>
          <w:iCs/>
        </w:rPr>
        <w:t xml:space="preserve">Causality: Models, reasoning, and inference</w:t>
      </w:r>
      <w:r>
        <w:t xml:space="preserve">, 2nd ed. Cambridge University Press, 2009.</w:t>
      </w:r>
    </w:p>
    <w:bookmarkEnd w:id="88"/>
    <w:bookmarkStart w:id="89" w:name="ref-peters2017"/>
    <w:p>
      <w:pPr>
        <w:pStyle w:val="Bibliography"/>
      </w:pPr>
      <w:r>
        <w:t xml:space="preserve">[7]</w:t>
      </w:r>
      <w:r>
        <w:t xml:space="preserve"> </w:t>
      </w:r>
      <w:r>
        <w:t xml:space="preserve">	</w:t>
      </w:r>
      <w:r>
        <w:t xml:space="preserve">J. Peters, D. Janzing, and B. Schölkopf,</w:t>
      </w:r>
      <w:r>
        <w:t xml:space="preserve"> </w:t>
      </w:r>
      <w:r>
        <w:rPr>
          <w:i/>
          <w:iCs/>
        </w:rPr>
        <w:t xml:space="preserve">Elements of causal inference: Foundations and learning algorithms</w:t>
      </w:r>
      <w:r>
        <w:t xml:space="preserve">. MIT Press, 2017.</w:t>
      </w:r>
    </w:p>
    <w:bookmarkEnd w:id="89"/>
    <w:bookmarkStart w:id="90" w:name="ref-goodman2008"/>
    <w:p>
      <w:pPr>
        <w:pStyle w:val="Bibliography"/>
      </w:pPr>
      <w:r>
        <w:t xml:space="preserve">[8]</w:t>
      </w:r>
      <w:r>
        <w:t xml:space="preserve"> </w:t>
      </w:r>
      <w:r>
        <w:t xml:space="preserve">	</w:t>
      </w:r>
      <w:r>
        <w:t xml:space="preserve">N. D. Goodman, V. K. Mansinghka, D. M. Roy, K. Bonawitz, and J. B. Tenenbaum,</w:t>
      </w:r>
      <w:r>
        <w:t xml:space="preserve"> </w:t>
      </w:r>
      <w:r>
        <w:t xml:space="preserve">“Church: A language for generative models,”</w:t>
      </w:r>
      <w:r>
        <w:t xml:space="preserve"> </w:t>
      </w:r>
      <w:r>
        <w:t xml:space="preserve">in</w:t>
      </w:r>
      <w:r>
        <w:t xml:space="preserve"> </w:t>
      </w:r>
      <w:r>
        <w:rPr>
          <w:i/>
          <w:iCs/>
        </w:rPr>
        <w:t xml:space="preserve">Proceedings of the 24th conference on uncertainty in artificial intelligence</w:t>
      </w:r>
      <w:r>
        <w:t xml:space="preserve">, 2008, pp. 220–229.</w:t>
      </w:r>
    </w:p>
    <w:bookmarkEnd w:id="90"/>
    <w:bookmarkStart w:id="92" w:name="ref-kulesza2012"/>
    <w:p>
      <w:pPr>
        <w:pStyle w:val="Bibliography"/>
      </w:pPr>
      <w:r>
        <w:t xml:space="preserve">[9]</w:t>
      </w:r>
      <w:r>
        <w:t xml:space="preserve"> </w:t>
      </w:r>
      <w:r>
        <w:t xml:space="preserve">	</w:t>
      </w:r>
      <w:r>
        <w:t xml:space="preserve">A. Kulesza and B. Taskar,</w:t>
      </w:r>
      <w:r>
        <w:t xml:space="preserve"> </w:t>
      </w:r>
      <w:r>
        <w:rPr>
          <w:i/>
          <w:iCs/>
        </w:rPr>
        <w:t xml:space="preserve">Determinantal point processes for machine learning</w:t>
      </w:r>
      <w:r>
        <w:t xml:space="preserve">, vol. 5. in Foundations and trends in machine learning, no. 2–3, vol. 5. Now Publishers, 2012, pp. 123–286. doi:</w:t>
      </w:r>
      <w:r>
        <w:t xml:space="preserve"> </w:t>
      </w:r>
      <w:r>
        <w:rPr>
          <w:rStyle w:val="Hyperlink"/>
        </w:rPr>
        <w:t xml:space="preserve">10.1561/2200000044</w:t>
      </w:r>
      <w:r>
        <w:t xml:space="preserve">.</w:t>
      </w:r>
    </w:p>
    <w:bookmarkEnd w:id="92"/>
    <w:bookmarkStart w:id="94" w:name="ref-nemhauser1978"/>
    <w:p>
      <w:pPr>
        <w:pStyle w:val="Bibliography"/>
      </w:pPr>
      <w:r>
        <w:t xml:space="preserve">[10]</w:t>
      </w:r>
      <w:r>
        <w:t xml:space="preserve"> </w:t>
      </w:r>
      <w:r>
        <w:t xml:space="preserve">	</w:t>
      </w:r>
      <w:r>
        <w:t xml:space="preserve">G. L. Nemhauser, L. A. Wolsey, and M. L. Fisher,</w:t>
      </w:r>
      <w:r>
        <w:t xml:space="preserve"> </w:t>
      </w:r>
      <w:r>
        <w:t xml:space="preserve">“An analysis of approximations for maximizing submodular set functions—i,”</w:t>
      </w:r>
      <w:r>
        <w:t xml:space="preserve"> </w:t>
      </w:r>
      <w:r>
        <w:rPr>
          <w:i/>
          <w:iCs/>
        </w:rPr>
        <w:t xml:space="preserve">Mathematical Programming</w:t>
      </w:r>
      <w:r>
        <w:t xml:space="preserve">, vol. 14, pp. 265–294, 1978, doi:</w:t>
      </w:r>
      <w:r>
        <w:t xml:space="preserve"> </w:t>
      </w:r>
      <w:r>
        <w:rPr>
          <w:rStyle w:val="Hyperlink"/>
        </w:rPr>
        <w:t xml:space="preserve">10.1007/BF01588971</w:t>
      </w:r>
      <w:r>
        <w:t xml:space="preserve">.</w:t>
      </w:r>
    </w:p>
    <w:bookmarkEnd w:id="94"/>
    <w:bookmarkStart w:id="95" w:name="ref-perdomo2020"/>
    <w:p>
      <w:pPr>
        <w:pStyle w:val="Bibliography"/>
      </w:pPr>
      <w:r>
        <w:t xml:space="preserve">[11]</w:t>
      </w:r>
      <w:r>
        <w:t xml:space="preserve"> </w:t>
      </w:r>
      <w:r>
        <w:t xml:space="preserve">	</w:t>
      </w:r>
      <w:r>
        <w:t xml:space="preserve">J. C. Perdomo, T. Zrnic, C. Mendler-Dünner, and M. Hardt,</w:t>
      </w:r>
      <w:r>
        <w:t xml:space="preserve"> </w:t>
      </w:r>
      <w:r>
        <w:t xml:space="preserve">“Performative prediction,”</w:t>
      </w:r>
      <w:r>
        <w:t xml:space="preserve"> </w:t>
      </w:r>
      <w:r>
        <w:t xml:space="preserve">in</w:t>
      </w:r>
      <w:r>
        <w:t xml:space="preserve"> </w:t>
      </w:r>
      <w:r>
        <w:rPr>
          <w:i/>
          <w:iCs/>
        </w:rPr>
        <w:t xml:space="preserve">Proceedings of the 37th international conference on machine learning</w:t>
      </w:r>
      <w:r>
        <w:t xml:space="preserve">, in Proceedings of machine learning research, vol. 119. 2020, pp. 7599–7609.</w:t>
      </w:r>
    </w:p>
    <w:bookmarkEnd w:id="95"/>
    <w:bookmarkStart w:id="96" w:name="ref-pdc2026"/>
    <w:p>
      <w:pPr>
        <w:pStyle w:val="Bibliography"/>
      </w:pPr>
      <w:r>
        <w:t xml:space="preserve">[12]</w:t>
      </w:r>
      <w:r>
        <w:t xml:space="preserve"> </w:t>
      </w:r>
      <w:r>
        <w:t xml:space="preserve">	</w:t>
      </w:r>
      <w:r>
        <w:t xml:space="preserve">DogeOmegaRACLE Project,</w:t>
      </w:r>
      <w:r>
        <w:t xml:space="preserve"> </w:t>
      </w:r>
      <w:r>
        <w:t xml:space="preserve">“Psychotic decision calculus, version 2: Reflexive resource-rational cognitive control for partially observable markets.”</w:t>
      </w:r>
      <w:r>
        <w:t xml:space="preserve"> </w:t>
      </w:r>
      <w:r>
        <w:t xml:space="preserve">2026.</w:t>
      </w:r>
    </w:p>
    <w:bookmarkEnd w:id="96"/>
    <w:bookmarkStart w:id="98" w:name="ref-villani2009"/>
    <w:p>
      <w:pPr>
        <w:pStyle w:val="Bibliography"/>
      </w:pPr>
      <w:r>
        <w:t xml:space="preserve">[13]</w:t>
      </w:r>
      <w:r>
        <w:t xml:space="preserve"> </w:t>
      </w:r>
      <w:r>
        <w:t xml:space="preserve">	</w:t>
      </w:r>
      <w:r>
        <w:t xml:space="preserve">C. Villani,</w:t>
      </w:r>
      <w:r>
        <w:t xml:space="preserve"> </w:t>
      </w:r>
      <w:r>
        <w:rPr>
          <w:i/>
          <w:iCs/>
        </w:rPr>
        <w:t xml:space="preserve">Optimal transport: Old and new</w:t>
      </w:r>
      <w:r>
        <w:t xml:space="preserve">. Springer, 2009. doi:</w:t>
      </w:r>
      <w:r>
        <w:t xml:space="preserve"> </w:t>
      </w:r>
      <w:r>
        <w:rPr>
          <w:rStyle w:val="Hyperlink"/>
        </w:rPr>
        <w:t xml:space="preserve">10.1007/978-3-540-71050-9</w:t>
      </w:r>
      <w:r>
        <w:t xml:space="preserve">.</w:t>
      </w:r>
    </w:p>
    <w:bookmarkEnd w:id="98"/>
    <w:bookmarkStart w:id="99" w:name="ref-gretton2012"/>
    <w:p>
      <w:pPr>
        <w:pStyle w:val="Bibliography"/>
      </w:pPr>
      <w:r>
        <w:t xml:space="preserve">[14]</w:t>
      </w:r>
      <w:r>
        <w:t xml:space="preserve"> </w:t>
      </w:r>
      <w:r>
        <w:t xml:space="preserve">	</w:t>
      </w:r>
      <w:r>
        <w:t xml:space="preserve">A. Gretton, K. M. Borgwardt, M. J. Rasch, B. Schölkopf, and A. Smola,</w:t>
      </w:r>
      <w:r>
        <w:t xml:space="preserve"> </w:t>
      </w:r>
      <w:r>
        <w:t xml:space="preserve">“A kernel two-sample test,”</w:t>
      </w:r>
      <w:r>
        <w:t xml:space="preserve"> </w:t>
      </w:r>
      <w:r>
        <w:rPr>
          <w:i/>
          <w:iCs/>
        </w:rPr>
        <w:t xml:space="preserve">Journal of Machine Learning Research</w:t>
      </w:r>
      <w:r>
        <w:t xml:space="preserve">, vol. 13, pp. 723–773, 2012.</w:t>
      </w:r>
    </w:p>
    <w:bookmarkEnd w:id="99"/>
    <w:bookmarkStart w:id="101" w:name="ref-peters2015sid"/>
    <w:p>
      <w:pPr>
        <w:pStyle w:val="Bibliography"/>
      </w:pPr>
      <w:r>
        <w:t xml:space="preserve">[15]</w:t>
      </w:r>
      <w:r>
        <w:t xml:space="preserve"> </w:t>
      </w:r>
      <w:r>
        <w:t xml:space="preserve">	</w:t>
      </w:r>
      <w:r>
        <w:t xml:space="preserve">J. Peters and P. Bühlmann,</w:t>
      </w:r>
      <w:r>
        <w:t xml:space="preserve"> </w:t>
      </w:r>
      <w:r>
        <w:t xml:space="preserve">“Structural intervention distance for evaluating causal graphs,”</w:t>
      </w:r>
      <w:r>
        <w:t xml:space="preserve"> </w:t>
      </w:r>
      <w:r>
        <w:rPr>
          <w:i/>
          <w:iCs/>
        </w:rPr>
        <w:t xml:space="preserve">Neural Computation</w:t>
      </w:r>
      <w:r>
        <w:t xml:space="preserve">, vol. 27, no. 3, pp. 771–799, 2015, doi:</w:t>
      </w:r>
      <w:r>
        <w:t xml:space="preserve"> </w:t>
      </w:r>
      <w:r>
        <w:rPr>
          <w:rStyle w:val="Hyperlink"/>
        </w:rPr>
        <w:t xml:space="preserve">10.1162/NECO_a_00708</w:t>
      </w:r>
      <w:r>
        <w:t xml:space="preserve">.</w:t>
      </w:r>
    </w:p>
    <w:bookmarkEnd w:id="101"/>
    <w:bookmarkStart w:id="103" w:name="ref-schoenberg1938"/>
    <w:p>
      <w:pPr>
        <w:pStyle w:val="Bibliography"/>
      </w:pPr>
      <w:r>
        <w:t xml:space="preserve">[16]</w:t>
      </w:r>
      <w:r>
        <w:t xml:space="preserve"> </w:t>
      </w:r>
      <w:r>
        <w:t xml:space="preserve">	</w:t>
      </w:r>
      <w:r>
        <w:t xml:space="preserve">I. J. Schoenberg,</w:t>
      </w:r>
      <w:r>
        <w:t xml:space="preserve"> </w:t>
      </w:r>
      <w:r>
        <w:t xml:space="preserve">“Metric spaces and positive definite functions,”</w:t>
      </w:r>
      <w:r>
        <w:t xml:space="preserve"> </w:t>
      </w:r>
      <w:r>
        <w:rPr>
          <w:i/>
          <w:iCs/>
        </w:rPr>
        <w:t xml:space="preserve">Transactions of the American Mathematical Society</w:t>
      </w:r>
      <w:r>
        <w:t xml:space="preserve">, vol. 44, no. 3, pp. 522–536, 1938, doi:</w:t>
      </w:r>
      <w:r>
        <w:t xml:space="preserve"> </w:t>
      </w:r>
      <w:r>
        <w:rPr>
          <w:rStyle w:val="Hyperlink"/>
        </w:rPr>
        <w:t xml:space="preserve">10.2307/1989894</w:t>
      </w:r>
      <w:r>
        <w:t xml:space="preserve">.</w:t>
      </w:r>
    </w:p>
    <w:bookmarkEnd w:id="103"/>
    <w:bookmarkStart w:id="105" w:name="ref-sejdinovic2013"/>
    <w:p>
      <w:pPr>
        <w:pStyle w:val="Bibliography"/>
      </w:pPr>
      <w:r>
        <w:t xml:space="preserve">[17]</w:t>
      </w:r>
      <w:r>
        <w:t xml:space="preserve"> </w:t>
      </w:r>
      <w:r>
        <w:t xml:space="preserve">	</w:t>
      </w:r>
      <w:r>
        <w:t xml:space="preserve">D. Sejdinovic, B. Sriperumbudur, A. Gretton, and K. Fukumizu,</w:t>
      </w:r>
      <w:r>
        <w:t xml:space="preserve"> </w:t>
      </w:r>
      <w:r>
        <w:t xml:space="preserve">“Equivalence of distance-based and RKHS-based statistics in hypothesis testing,”</w:t>
      </w:r>
      <w:r>
        <w:t xml:space="preserve"> </w:t>
      </w:r>
      <w:r>
        <w:rPr>
          <w:i/>
          <w:iCs/>
        </w:rPr>
        <w:t xml:space="preserve">The Annals of Statistics</w:t>
      </w:r>
      <w:r>
        <w:t xml:space="preserve">, vol. 41, no. 5, pp. 2263–2291, 2013, doi:</w:t>
      </w:r>
      <w:r>
        <w:t xml:space="preserve"> </w:t>
      </w:r>
      <w:r>
        <w:rPr>
          <w:rStyle w:val="Hyperlink"/>
        </w:rPr>
        <w:t xml:space="preserve">10.1214/13-AOS1140</w:t>
      </w:r>
      <w:r>
        <w:t xml:space="preserve">.</w:t>
      </w:r>
    </w:p>
    <w:bookmarkEnd w:id="105"/>
    <w:bookmarkStart w:id="107" w:name="ref-dekleer1986"/>
    <w:p>
      <w:pPr>
        <w:pStyle w:val="Bibliography"/>
      </w:pPr>
      <w:r>
        <w:t xml:space="preserve">[18]</w:t>
      </w:r>
      <w:r>
        <w:t xml:space="preserve"> </w:t>
      </w:r>
      <w:r>
        <w:t xml:space="preserve">	</w:t>
      </w:r>
      <w:r>
        <w:t xml:space="preserve">J. de Kleer,</w:t>
      </w:r>
      <w:r>
        <w:t xml:space="preserve"> </w:t>
      </w:r>
      <w:r>
        <w:t xml:space="preserve">“An assumption-based TMS,”</w:t>
      </w:r>
      <w:r>
        <w:t xml:space="preserve"> </w:t>
      </w:r>
      <w:r>
        <w:rPr>
          <w:i/>
          <w:iCs/>
        </w:rPr>
        <w:t xml:space="preserve">Artificial Intelligence</w:t>
      </w:r>
      <w:r>
        <w:t xml:space="preserve">, vol. 28, no. 2, pp. 127–162, 1986, doi:</w:t>
      </w:r>
      <w:r>
        <w:t xml:space="preserve"> </w:t>
      </w:r>
      <w:r>
        <w:rPr>
          <w:rStyle w:val="Hyperlink"/>
        </w:rPr>
        <w:t xml:space="preserve">10.1016/0004-3702(86)90080-9</w:t>
      </w:r>
      <w:r>
        <w:t xml:space="preserve">.</w:t>
      </w:r>
    </w:p>
    <w:bookmarkEnd w:id="107"/>
    <w:bookmarkStart w:id="108" w:name="ref-gillenwater2012"/>
    <w:p>
      <w:pPr>
        <w:pStyle w:val="Bibliography"/>
      </w:pPr>
      <w:r>
        <w:t xml:space="preserve">[19]</w:t>
      </w:r>
      <w:r>
        <w:t xml:space="preserve"> </w:t>
      </w:r>
      <w:r>
        <w:t xml:space="preserve">	</w:t>
      </w:r>
      <w:r>
        <w:t xml:space="preserve">J. Gillenwater, A. Kulesza, and B. Taskar,</w:t>
      </w:r>
      <w:r>
        <w:t xml:space="preserve"> </w:t>
      </w:r>
      <w:r>
        <w:t xml:space="preserve">“Near-optimal MAP inference for determinantal point processes,”</w:t>
      </w:r>
      <w:r>
        <w:t xml:space="preserve"> </w:t>
      </w:r>
      <w:r>
        <w:t xml:space="preserve">in</w:t>
      </w:r>
      <w:r>
        <w:t xml:space="preserve"> </w:t>
      </w:r>
      <w:r>
        <w:rPr>
          <w:i/>
          <w:iCs/>
        </w:rPr>
        <w:t xml:space="preserve">Advances in neural information processing systems</w:t>
      </w:r>
      <w:r>
        <w:t xml:space="preserve">, 2012.</w:t>
      </w:r>
    </w:p>
    <w:bookmarkEnd w:id="108"/>
    <w:bookmarkStart w:id="110" w:name="ref-buneman2001"/>
    <w:p>
      <w:pPr>
        <w:pStyle w:val="Bibliography"/>
      </w:pPr>
      <w:r>
        <w:t xml:space="preserve">[20]</w:t>
      </w:r>
      <w:r>
        <w:t xml:space="preserve"> </w:t>
      </w:r>
      <w:r>
        <w:t xml:space="preserve">	</w:t>
      </w:r>
      <w:r>
        <w:t xml:space="preserve">P. Buneman, S. Khanna, and W.-C. Tan,</w:t>
      </w:r>
      <w:r>
        <w:t xml:space="preserve"> </w:t>
      </w:r>
      <w:r>
        <w:t xml:space="preserve">“Why and where: A characterization of data provenance,”</w:t>
      </w:r>
      <w:r>
        <w:t xml:space="preserve"> </w:t>
      </w:r>
      <w:r>
        <w:t xml:space="preserve">in</w:t>
      </w:r>
      <w:r>
        <w:t xml:space="preserve"> </w:t>
      </w:r>
      <w:r>
        <w:rPr>
          <w:i/>
          <w:iCs/>
        </w:rPr>
        <w:t xml:space="preserve">Database theory—ICDT 2001</w:t>
      </w:r>
      <w:r>
        <w:t xml:space="preserve">, Springer, 2001, pp. 316–330. doi:</w:t>
      </w:r>
      <w:r>
        <w:t xml:space="preserve"> </w:t>
      </w:r>
      <w:r>
        <w:rPr>
          <w:rStyle w:val="Hyperlink"/>
        </w:rPr>
        <w:t xml:space="preserve">10.1007/3-540-44503-X_20</w:t>
      </w:r>
      <w:r>
        <w:t xml:space="preserve">.</w:t>
      </w:r>
    </w:p>
    <w:bookmarkEnd w:id="110"/>
    <w:bookmarkStart w:id="111" w:name="ref-benjamini1995"/>
    <w:p>
      <w:pPr>
        <w:pStyle w:val="Bibliography"/>
      </w:pPr>
      <w:r>
        <w:t xml:space="preserve">[21]</w:t>
      </w:r>
      <w:r>
        <w:t xml:space="preserve"> </w:t>
      </w:r>
      <w:r>
        <w:t xml:space="preserve">	</w:t>
      </w:r>
      <w:r>
        <w:t xml:space="preserve">Y. Benjamini and Y. Hochberg,</w:t>
      </w:r>
      <w:r>
        <w:t xml:space="preserve"> </w:t>
      </w:r>
      <w:r>
        <w:t xml:space="preserve">“Controlling the false discovery rate: A practical and powerful approach to multiple testing,”</w:t>
      </w:r>
      <w:r>
        <w:t xml:space="preserve"> </w:t>
      </w:r>
      <w:r>
        <w:rPr>
          <w:i/>
          <w:iCs/>
        </w:rPr>
        <w:t xml:space="preserve">Journal of the Royal Statistical Society: Series B</w:t>
      </w:r>
      <w:r>
        <w:t xml:space="preserve">, vol. 57, no. 1, pp. 289–300, 1995.</w:t>
      </w:r>
    </w:p>
    <w:bookmarkEnd w:id="111"/>
    <w:bookmarkStart w:id="113" w:name="ref-foster2008"/>
    <w:p>
      <w:pPr>
        <w:pStyle w:val="Bibliography"/>
      </w:pPr>
      <w:r>
        <w:t xml:space="preserve">[22]</w:t>
      </w:r>
      <w:r>
        <w:t xml:space="preserve"> </w:t>
      </w:r>
      <w:r>
        <w:t xml:space="preserve">	</w:t>
      </w:r>
      <w:r>
        <w:t xml:space="preserve">D. P. Foster and R. A. Stine,</w:t>
      </w:r>
      <w:r>
        <w:t xml:space="preserve"> </w:t>
      </w:r>
      <w:r>
        <w:t xml:space="preserve">“Alpha-investing: A procedure for sequential control of expected false discoveries,”</w:t>
      </w:r>
      <w:r>
        <w:t xml:space="preserve"> </w:t>
      </w:r>
      <w:r>
        <w:rPr>
          <w:i/>
          <w:iCs/>
        </w:rPr>
        <w:t xml:space="preserve">Journal of the Royal Statistical Society: Series B</w:t>
      </w:r>
      <w:r>
        <w:t xml:space="preserve">, vol. 70, no. 2, pp. 429–444, 2008, doi:</w:t>
      </w:r>
      <w:r>
        <w:t xml:space="preserve"> </w:t>
      </w:r>
      <w:r>
        <w:rPr>
          <w:rStyle w:val="Hyperlink"/>
        </w:rPr>
        <w:t xml:space="preserve">10.1111/j.1467-9868.2007.00643.x</w:t>
      </w:r>
      <w:r>
        <w:t xml:space="preserve">.</w:t>
      </w:r>
    </w:p>
    <w:bookmarkEnd w:id="113"/>
    <w:bookmarkStart w:id="115" w:name="ref-gentner1983"/>
    <w:p>
      <w:pPr>
        <w:pStyle w:val="Bibliography"/>
      </w:pPr>
      <w:r>
        <w:t xml:space="preserve">[23]</w:t>
      </w:r>
      <w:r>
        <w:t xml:space="preserve"> </w:t>
      </w:r>
      <w:r>
        <w:t xml:space="preserve">	</w:t>
      </w:r>
      <w:r>
        <w:t xml:space="preserve">D. Gentner,</w:t>
      </w:r>
      <w:r>
        <w:t xml:space="preserve"> </w:t>
      </w:r>
      <w:r>
        <w:t xml:space="preserve">“Structure-mapping: A theoretical framework for analogy,”</w:t>
      </w:r>
      <w:r>
        <w:t xml:space="preserve"> </w:t>
      </w:r>
      <w:r>
        <w:rPr>
          <w:i/>
          <w:iCs/>
        </w:rPr>
        <w:t xml:space="preserve">Cognitive Science</w:t>
      </w:r>
      <w:r>
        <w:t xml:space="preserve">, vol. 7, no. 2, pp. 155–170, 1983, doi:</w:t>
      </w:r>
      <w:r>
        <w:t xml:space="preserve"> </w:t>
      </w:r>
      <w:r>
        <w:rPr>
          <w:rStyle w:val="Hyperlink"/>
        </w:rPr>
        <w:t xml:space="preserve">10.1207/s15516709cog0702_3</w:t>
      </w:r>
      <w:r>
        <w:t xml:space="preserve">.</w:t>
      </w:r>
    </w:p>
    <w:bookmarkEnd w:id="115"/>
    <w:bookmarkEnd w:id="116"/>
    <w:bookmarkEnd w:id="117"/>
    <w:sectPr w:rsidR="00FC693F" w:rsidRPr="0006063C" w:rsidSect="00034616">
      <w:headerReference r:id="rId9" w:type="default"/>
      <w:footerReference r:id="rId10" w:type="default"/>
      <w:pgSz w:h="15840" w:w="12240"/>
      <w:pgMar w:bottom="1008" w:footer="432" w:gutter="0" w:header="432" w:left="1224" w:right="1224"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Divergent Hypothesis Dynamics — DogeOmegaRACLE Project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2" w:lineRule="auto"/>
      <w:jc w:val="both"/>
    </w:pPr>
    <w:rPr>
      <w:rFonts w:ascii="Times New Roman" w:eastAsia="Times New Roman"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Times New Roman" w:asciiTheme="majorHAnsi"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60" w:before="120"/>
      <w:outlineLvl w:val="2"/>
    </w:pPr>
    <w:rPr>
      <w:rFonts w:ascii="Times New Roman" w:asciiTheme="majorHAnsi" w:cstheme="majorBidi" w:eastAsia="Times New Roman" w:eastAsiaTheme="majorEastAsia" w:hAnsi="Times New Roman" w:hAnsiTheme="majorHAnsi"/>
      <w:b/>
      <w:bCs/>
      <w:color w:themeColor="accent1" w:val="4F81BD"/>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jc w:val="center"/>
    </w:pPr>
    <w:rPr>
      <w:rFonts w:ascii="Times New Roman" w:asciiTheme="majorHAnsi" w:cstheme="majorBidi" w:eastAsia="Times New Roman" w:eastAsiaTheme="majorEastAsia" w:hAnsi="Times New Roman" w:hAnsiTheme="majorHAnsi"/>
      <w:b w:val="0"/>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hAnsi="Times New Roman"/>
      <w:b/>
      <w:bCs/>
      <w:i/>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7" Type="http://schemas.openxmlformats.org/officeDocument/2006/relationships/image" Target="media/rId37.png"/><Relationship Id="rId43" Type="http://schemas.openxmlformats.org/officeDocument/2006/relationships/image" Target="media/rId43.png"/><Relationship Id="rId24" Type="http://schemas.openxmlformats.org/officeDocument/2006/relationships/image" Target="media/rId24.png"/><Relationship Id="rId80" Type="http://schemas.openxmlformats.org/officeDocument/2006/relationships/hyperlink" Target="https://arxiv.org/abs/1504.04909" TargetMode="External"/><Relationship Id="rId109" Type="http://schemas.openxmlformats.org/officeDocument/2006/relationships/hyperlink" Target="https://doi.org/10.1007/3-540-44503-X_20" TargetMode="External"/><Relationship Id="rId86" Type="http://schemas.openxmlformats.org/officeDocument/2006/relationships/hyperlink" Target="https://doi.org/10.1007/978-1-4684-9393-1" TargetMode="External"/><Relationship Id="rId84" Type="http://schemas.openxmlformats.org/officeDocument/2006/relationships/hyperlink" Target="https://doi.org/10.1007/978-1-4757-3437-9" TargetMode="External"/><Relationship Id="rId97" Type="http://schemas.openxmlformats.org/officeDocument/2006/relationships/hyperlink" Target="https://doi.org/10.1007/978-3-540-71050-9" TargetMode="External"/><Relationship Id="rId93" Type="http://schemas.openxmlformats.org/officeDocument/2006/relationships/hyperlink" Target="https://doi.org/10.1007/BF01588971" TargetMode="External"/><Relationship Id="rId106" Type="http://schemas.openxmlformats.org/officeDocument/2006/relationships/hyperlink" Target="https://doi.org/10.1016/0004-3702(86)90080-9" TargetMode="External"/><Relationship Id="rId112" Type="http://schemas.openxmlformats.org/officeDocument/2006/relationships/hyperlink" Target="https://doi.org/10.1111/j.1467-9868.2007.00643.x" TargetMode="External"/><Relationship Id="rId78" Type="http://schemas.openxmlformats.org/officeDocument/2006/relationships/hyperlink" Target="https://doi.org/10.1162/EVCO_a_00025" TargetMode="External"/><Relationship Id="rId100" Type="http://schemas.openxmlformats.org/officeDocument/2006/relationships/hyperlink" Target="https://doi.org/10.1162/NECO_a_00708" TargetMode="External"/><Relationship Id="rId114" Type="http://schemas.openxmlformats.org/officeDocument/2006/relationships/hyperlink" Target="https://doi.org/10.1207/s15516709cog0702_3" TargetMode="External"/><Relationship Id="rId104" Type="http://schemas.openxmlformats.org/officeDocument/2006/relationships/hyperlink" Target="https://doi.org/10.1214/13-AOS1140" TargetMode="External"/><Relationship Id="rId91" Type="http://schemas.openxmlformats.org/officeDocument/2006/relationships/hyperlink" Target="https://doi.org/10.1561/2200000044" TargetMode="External"/><Relationship Id="rId102" Type="http://schemas.openxmlformats.org/officeDocument/2006/relationships/hyperlink" Target="https://doi.org/10.2307/1989894" TargetMode="External"/><Relationship Id="rId82" Type="http://schemas.openxmlformats.org/officeDocument/2006/relationships/hyperlink" Target="https://doi.org/10.3389/frobt.2016.00040" TargetMode="External"/></Relationships>
</file>

<file path=word/_rels/footnotes.xml.rels><?xml version='1.0' encoding='UTF-8' standalone='yes'?>
<Relationships xmlns="http://schemas.openxmlformats.org/package/2006/relationships"><Relationship Id="rId80" Type="http://schemas.openxmlformats.org/officeDocument/2006/relationships/hyperlink" Target="https://arxiv.org/abs/1504.04909" TargetMode="External"/><Relationship Id="rId109" Type="http://schemas.openxmlformats.org/officeDocument/2006/relationships/hyperlink" Target="https://doi.org/10.1007/3-540-44503-X_20" TargetMode="External"/><Relationship Id="rId86" Type="http://schemas.openxmlformats.org/officeDocument/2006/relationships/hyperlink" Target="https://doi.org/10.1007/978-1-4684-9393-1" TargetMode="External"/><Relationship Id="rId84" Type="http://schemas.openxmlformats.org/officeDocument/2006/relationships/hyperlink" Target="https://doi.org/10.1007/978-1-4757-3437-9" TargetMode="External"/><Relationship Id="rId97" Type="http://schemas.openxmlformats.org/officeDocument/2006/relationships/hyperlink" Target="https://doi.org/10.1007/978-3-540-71050-9" TargetMode="External"/><Relationship Id="rId93" Type="http://schemas.openxmlformats.org/officeDocument/2006/relationships/hyperlink" Target="https://doi.org/10.1007/BF01588971" TargetMode="External"/><Relationship Id="rId106" Type="http://schemas.openxmlformats.org/officeDocument/2006/relationships/hyperlink" Target="https://doi.org/10.1016/0004-3702(86)90080-9" TargetMode="External"/><Relationship Id="rId112" Type="http://schemas.openxmlformats.org/officeDocument/2006/relationships/hyperlink" Target="https://doi.org/10.1111/j.1467-9868.2007.00643.x" TargetMode="External"/><Relationship Id="rId78" Type="http://schemas.openxmlformats.org/officeDocument/2006/relationships/hyperlink" Target="https://doi.org/10.1162/EVCO_a_00025" TargetMode="External"/><Relationship Id="rId100" Type="http://schemas.openxmlformats.org/officeDocument/2006/relationships/hyperlink" Target="https://doi.org/10.1162/NECO_a_00708" TargetMode="External"/><Relationship Id="rId114" Type="http://schemas.openxmlformats.org/officeDocument/2006/relationships/hyperlink" Target="https://doi.org/10.1207/s15516709cog0702_3" TargetMode="External"/><Relationship Id="rId104" Type="http://schemas.openxmlformats.org/officeDocument/2006/relationships/hyperlink" Target="https://doi.org/10.1214/13-AOS1140" TargetMode="External"/><Relationship Id="rId91" Type="http://schemas.openxmlformats.org/officeDocument/2006/relationships/hyperlink" Target="https://doi.org/10.1561/2200000044" TargetMode="External"/><Relationship Id="rId102" Type="http://schemas.openxmlformats.org/officeDocument/2006/relationships/hyperlink" Target="https://doi.org/10.2307/1989894" TargetMode="External"/><Relationship Id="rId82" Type="http://schemas.openxmlformats.org/officeDocument/2006/relationships/hyperlink" Target="https://doi.org/10.3389/frobt.2016.00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Divergent Hypothesis Dynamics</dc:title>
  <dc:creator>DogeOmegaRACLE Project</dc:creator>
  <cp:keywords>divergent hypothesis dynamics, open-ended model exploration, novelty search, causal inference, probabilistic programming, performative prediction, resource rationality, metareasoning</cp:keywords>
  <dcterms:created xsi:type="dcterms:W3CDTF">2026-09-17T22:52:06Z</dcterms:created>
  <dcterms:modified xsi:type="dcterms:W3CDTF">2026-09-17T22:52:06Z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Divergent Hypothesis Dynamics (DHD) is a mathematical framework for exploratory cognition: the deliberate generation, mutation, retention, and provenance tracking of a heterogeneous population of executable hypotheses without treating generation as belief. The framework is motivated by nonstationary and reflexive environments in which a conventional inference system can become locally coherent yet globally myopic because the useful explanatory model lies outside its currently favored family. DHD therefore separates model-space exploration from epistemic adjudication. A hypothesis is a typed executable object in a coproduct of model families; generators are typed partial stochastic maps; comparison is multi-view rather than a universal scalar distance; and population control is performed by a novelty/coverage archive under explicit compute, memory, and latency budgets. The system is externally metacontrolled by Psychotic Decision Calculus (PDC) through a control tuple that independently specifies generator allocation, mutation magnitude, resource budget, and archive breadth. DHD itself does not assign posterior belief, select trades, size positions, or execute actions. We formalize contradiction between hypotheses without permitting internal incoherence within a hypothesis, distinguish layered notions of equivalence, define a labeled provenance DAG, and specify a reflexive model family using dynamic/performative semantics rather than static DAG cycles. We prove elementary archive-boundedness and type-closure results, import the classical greedy guarantee for monotone submodular selection under its stated assumptions, and show why determinant-based selection does not by itself imply observational-equivalence compression. The central empirical claim remains deliberately unproved: controlled structural diversity may reduce validated discovery time relative to matched-compute baselines. We provide a falsifiable staged validation program, ablations, and kill criteria. No empirical market-performance claim is made.</vt:lpwstr>
  </property>
  <property fmtid="{D5CDD505-2E9C-101B-9397-08002B2CF9AE}" pid="3" name="bibliography">
    <vt:lpwstr>references.bib</vt:lpwstr>
  </property>
  <property fmtid="{D5CDD505-2E9C-101B-9397-08002B2CF9AE}" pid="4" name="csl">
    <vt:lpwstr>/usr/share/texlive/texmf-dist/tex/latex/citation-style-language/styles/ieee.csl</vt:lpwstr>
  </property>
  <property fmtid="{D5CDD505-2E9C-101B-9397-08002B2CF9AE}" pid="5" name="date">
    <vt:lpwstr>Version 1.0 - September 2026</vt:lpwstr>
  </property>
  <property fmtid="{D5CDD505-2E9C-101B-9397-08002B2CF9AE}" pid="6" name="subtitle">
    <vt:lpwstr>Controlled Exploratory Cognition over Heterogeneous Model Spaces</vt:lpwstr>
  </property>
</Properties>
</file>