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0E7C6B"/>
          <w:sz w:val="56"/>
          <w:szCs w:val="56"/>
        </w:rPr>
        <w:t xml:space="preserve">ARKA HEALTH</w:t>
      </w:r>
    </w:p>
    <w:p>
      <w:pPr>
        <w:spacing w:after="40"/>
        <w:jc w:val="center"/>
      </w:pPr>
      <w:r>
        <w:rPr>
          <w:b/>
          <w:bCs/>
          <w:color w:val="1F2A37"/>
          <w:sz w:val="40"/>
          <w:szCs w:val="40"/>
        </w:rPr>
        <w:t xml:space="preserve">Go-To-Market Action Plan</w:t>
      </w:r>
    </w:p>
    <w:p>
      <w:pPr>
        <w:spacing w:after="40"/>
        <w:jc w:val="center"/>
      </w:pPr>
      <w:r>
        <w:rPr>
          <w:color w:val="5B6672"/>
          <w:sz w:val="28"/>
          <w:szCs w:val="28"/>
        </w:rPr>
        <w:t xml:space="preserve">From Clinician LOIs to Unicorn</w:t>
      </w:r>
    </w:p>
    <w:p>
      <w:pPr>
        <w:spacing w:after="40" w:before="200"/>
        <w:jc w:val="center"/>
      </w:pPr>
      <w:r>
        <w:rPr>
          <w:i/>
          <w:iCs/>
          <w:color w:val="0B5E51"/>
          <w:sz w:val="24"/>
          <w:szCs w:val="24"/>
        </w:rPr>
        <w:t xml:space="preserve">Strategic recommendation: Lead provider-side. Architect for payer.</w:t>
      </w:r>
    </w:p>
    <w:p>
      <w:pPr>
        <w:spacing w:before="600"/>
        <w:jc w:val="center"/>
      </w:pPr>
      <w:r>
        <w:rPr>
          <w:color w:val="5B6672"/>
          <w:sz w:val="20"/>
          <w:szCs w:val="20"/>
        </w:rPr>
        <w:t xml:space="preserve">Prepared for Arri  •  June 13,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The 60-Second Answer</w:t>
      </w:r>
    </w:p>
    <w:p>
      <w:pPr>
        <w:spacing w:after="140" w:line="276"/>
      </w:pPr>
      <w:r>
        <w:rPr>
          <w:b/>
          <w:bCs/>
        </w:rPr>
        <w:t xml:space="preserve">You are not screwed, and you are not as confused as you feel. </w:t>
      </w:r>
      <w:r>
        <w:t xml:space="preserve">Here is the whole strategy in five sentences, so you can act today even if you read nothing else.</w:t>
      </w:r>
    </w:p>
    <w:p>
      <w:pPr>
        <w:pStyle w:val="ListParagraph"/>
        <w:numPr>
          <w:ilvl w:val="0"/>
          <w:numId w:val="2"/>
        </w:numPr>
        <w:spacing w:after="70" w:line="270"/>
      </w:pPr>
      <w:r>
        <w:rPr>
          <w:b/>
          <w:bCs/>
        </w:rPr>
        <w:t xml:space="preserve">Lead provider-side. </w:t>
      </w:r>
      <w:r>
        <w:t xml:space="preserve">Sell ARKA-CLIN to clinicians and health systems first — clean claims, captured revenue, zero-workflow-change. This is where you already are (LOIs, advisory board), and the sales cycle is faster.</w:t>
      </w:r>
    </w:p>
    <w:p>
      <w:pPr>
        <w:pStyle w:val="ListParagraph"/>
        <w:numPr>
          <w:ilvl w:val="0"/>
          <w:numId w:val="2"/>
        </w:numPr>
        <w:spacing w:after="70" w:line="270"/>
      </w:pPr>
      <w:r>
        <w:rPr>
          <w:b/>
          <w:bCs/>
        </w:rPr>
        <w:t xml:space="preserve">Architect for payer from day one. </w:t>
      </w:r>
      <w:r>
        <w:t xml:space="preserve">Every provider deployment quietly produces the proof and the dataset that make the payer pitch (ARKA-INS, “same engine both sides”) credible and neutral later. That two-sided flip is the unicorn.</w:t>
      </w:r>
    </w:p>
    <w:p>
      <w:pPr>
        <w:pStyle w:val="ListParagraph"/>
        <w:numPr>
          <w:ilvl w:val="0"/>
          <w:numId w:val="2"/>
        </w:numPr>
        <w:spacing w:after="70" w:line="270"/>
      </w:pPr>
      <w:r>
        <w:rPr>
          <w:b/>
          <w:bCs/>
        </w:rPr>
        <w:t xml:space="preserve">Win on what Optum structurally can’t copy: </w:t>
      </w:r>
      <w:r>
        <w:t xml:space="preserve">independence (they’re owned by a payer), one symmetric engine, patient-specific explainable ML, and data that never leaves the building. Never lead with “AI prior auth” — Optum already says that.</w:t>
      </w:r>
    </w:p>
    <w:p>
      <w:pPr>
        <w:pStyle w:val="ListParagraph"/>
        <w:numPr>
          <w:ilvl w:val="0"/>
          <w:numId w:val="2"/>
        </w:numPr>
        <w:spacing w:after="70" w:line="270"/>
      </w:pPr>
      <w:r>
        <w:rPr>
          <w:b/>
          <w:bCs/>
        </w:rPr>
        <w:t xml:space="preserve">Target conflict, not company size. </w:t>
      </w:r>
      <w:r>
        <w:t xml:space="preserve">Go after systems in friction with UnitedHealth, independent imaging/radiology groups, and rural sites. They have the strongest reason to want a tool their insurer doesn’t own.</w:t>
      </w:r>
    </w:p>
    <w:p>
      <w:pPr>
        <w:pStyle w:val="ListParagraph"/>
        <w:numPr>
          <w:ilvl w:val="0"/>
          <w:numId w:val="2"/>
        </w:numPr>
        <w:spacing w:after="70" w:line="270"/>
      </w:pPr>
      <w:r>
        <w:rPr>
          <w:b/>
          <w:bCs/>
        </w:rPr>
        <w:t xml:space="preserve">Run the 90-day sprint in Section 7. </w:t>
      </w:r>
      <w:r>
        <w:t xml:space="preserve">Convert 12–18 clinician LOIs, stand up a 5–7 person advisory board, and lock 2–3 design partners. That package is exactly what a pre-seed/seed round is underwritten on in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The unicorn sentence — memorize it</w:t>
            </w:r>
          </w:p>
          <w:p>
            <w:pPr>
              <w:spacing w:after="40" w:line="264"/>
            </w:pPr>
            <w:r>
              <w:rPr>
                <w:i/>
                <w:iCs/>
              </w:rPr>
              <w:t xml:space="preserve">“Optum sells the payer’s appropriateness engine to providers. ARKA is the independent, patient-specific, explainable imaging-appropriateness engine that scores the same way for the doctor and the payer — so the right scan is ordered, justified, and paid, with the data never leaving the building.”</w:t>
            </w:r>
          </w:p>
        </w:tc>
      </w:tr>
    </w:tbl>
    <w:p>
      <w:r>
        <w:br w:type="page"/>
      </w:r>
    </w:p>
    <w:p>
      <w:pPr>
        <w:pStyle w:val="Heading1"/>
      </w:pPr>
      <w:r>
        <w:t xml:space="preserve">1. The Decision: Provider-Led, Payer-Architected</w:t>
      </w:r>
    </w:p>
    <w:p>
      <w:pPr>
        <w:spacing w:after="140" w:line="276"/>
      </w:pPr>
      <w:r>
        <w:t xml:space="preserve">You asked which way to lean. Here is the reasoning so you can defend the choice to advisors and investors — not just take my word.</w:t>
      </w:r>
    </w:p>
    <w:p>
      <w:pPr>
        <w:pStyle w:val="Heading2"/>
      </w:pPr>
      <w:r>
        <w:t xml:space="preserve">Why provider-first wins right now</w:t>
      </w:r>
    </w:p>
    <w:p>
      <w:pPr>
        <w:pStyle w:val="ListParagraph"/>
        <w:numPr>
          <w:ilvl w:val="0"/>
          <w:numId w:val="3"/>
        </w:numPr>
        <w:spacing w:after="70" w:line="270"/>
      </w:pPr>
      <w:r>
        <w:rPr>
          <w:b/>
          <w:bCs/>
        </w:rPr>
        <w:t xml:space="preserve">You’re already there. </w:t>
      </w:r>
      <w:r>
        <w:t xml:space="preserve">You are gathering clinician LOIs and building a clinical advisory board. That is provider-side motion. Switching to payer-first throws away momentum you already have.</w:t>
      </w:r>
    </w:p>
    <w:p>
      <w:pPr>
        <w:pStyle w:val="ListParagraph"/>
        <w:numPr>
          <w:ilvl w:val="0"/>
          <w:numId w:val="3"/>
        </w:numPr>
        <w:spacing w:after="70" w:line="270"/>
      </w:pPr>
      <w:r>
        <w:rPr>
          <w:b/>
          <w:bCs/>
        </w:rPr>
        <w:t xml:space="preserve">Faster cycles. </w:t>
      </w:r>
      <w:r>
        <w:t xml:space="preserve">Provider/health-system deals run ~6–18 months first-touch to signature; payer deals run ~12–24 months. At pre-seed you cannot afford a 2-year first sale with no proof.</w:t>
      </w:r>
    </w:p>
    <w:p>
      <w:pPr>
        <w:pStyle w:val="ListParagraph"/>
        <w:numPr>
          <w:ilvl w:val="0"/>
          <w:numId w:val="3"/>
        </w:numPr>
        <w:spacing w:after="70" w:line="270"/>
      </w:pPr>
      <w:r>
        <w:rPr>
          <w:b/>
          <w:bCs/>
        </w:rPr>
        <w:t xml:space="preserve">The revenue story is provider-native. </w:t>
      </w:r>
      <w:r>
        <w:t xml:space="preserve">“Get paid for the imaging you already do” speaks directly to a CFO/CMIO. The same message to a payer is a threat (it reduces their denials).</w:t>
      </w:r>
    </w:p>
    <w:p>
      <w:pPr>
        <w:pStyle w:val="ListParagraph"/>
        <w:numPr>
          <w:ilvl w:val="0"/>
          <w:numId w:val="3"/>
        </w:numPr>
        <w:spacing w:after="70" w:line="270"/>
      </w:pPr>
      <w:r>
        <w:rPr>
          <w:b/>
          <w:bCs/>
        </w:rPr>
        <w:t xml:space="preserve">Clinical champions de-risk everything. </w:t>
      </w:r>
      <w:r>
        <w:t xml:space="preserve">Signed LOIs and named advisors are the single most fundable artifact for a clinical-AI company today. Investors want “payer or system ROI within 12 months, backed by pilot data or a signed LOI.”</w:t>
      </w:r>
    </w:p>
    <w:p>
      <w:pPr>
        <w:pStyle w:val="ListParagraph"/>
        <w:numPr>
          <w:ilvl w:val="0"/>
          <w:numId w:val="3"/>
        </w:numPr>
        <w:spacing w:after="70" w:line="270"/>
      </w:pPr>
      <w:r>
        <w:rPr>
          <w:b/>
          <w:bCs/>
        </w:rPr>
        <w:t xml:space="preserve">You avoid a head-on fight with UnitedHealth. </w:t>
      </w:r>
      <w:r>
        <w:t xml:space="preserve">Payer-first means competing against InterQual/Optum on their turf with zero traction. Provider-first lets you build proof before that fight.</w:t>
      </w:r>
    </w:p>
    <w:p>
      <w:pPr>
        <w:pStyle w:val="Heading2"/>
      </w:pPr>
      <w:r>
        <w:t xml:space="preserve">Why you must architect for payer anyway</w:t>
      </w:r>
    </w:p>
    <w:p>
      <w:pPr>
        <w:spacing w:after="140" w:line="276"/>
      </w:pPr>
      <w:r>
        <w:t xml:space="preserve">If you only ever sell to providers, you are a feature, not a unicorn. The venture-scale outcome requires the </w:t>
      </w:r>
      <w:r>
        <w:rPr>
          <w:b/>
          <w:bCs/>
        </w:rPr>
        <w:t xml:space="preserve">two-sided flip</w:t>
      </w:r>
      <w:r>
        <w:t xml:space="preserve">: once enough providers trust the engine and you hold outcome data no one else has, payers pay to align with the engine clinicians already use. That is a network effect Optum cannot replicate neutrally, because Optum </w:t>
      </w:r>
      <w:r>
        <w:rPr>
          <w:b/>
          <w:bCs/>
        </w:rPr>
        <w:t xml:space="preserve">is</w:t>
      </w:r>
      <w:r>
        <w:t xml:space="preserve"> the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Decision in one line</w:t>
            </w:r>
          </w:p>
          <w:p>
            <w:pPr>
              <w:spacing w:after="40" w:line="264"/>
            </w:pPr>
            <w:r>
              <w:rPr>
                <w:b/>
                <w:bCs/>
              </w:rPr>
              <w:t xml:space="preserve">Lean provider. </w:t>
            </w:r>
            <w:r>
              <w:t xml:space="preserve">Sell ARKA-CLIN now; instrument every deployment to feed ARKA-INS; flip to the two-sided platform once you have ~10 systems and a defensible outcomes dataset.</w:t>
            </w:r>
          </w:p>
        </w:tc>
      </w:tr>
    </w:tbl>
    <w:p>
      <w:pPr>
        <w:pStyle w:val="Heading2"/>
      </w:pPr>
      <w:r>
        <w:t xml:space="preserve">What this means you do NOT do (for the next 12 months)</w:t>
      </w:r>
    </w:p>
    <w:p>
      <w:pPr>
        <w:pStyle w:val="ListParagraph"/>
        <w:numPr>
          <w:ilvl w:val="0"/>
          <w:numId w:val="3"/>
        </w:numPr>
        <w:spacing w:after="70" w:line="270"/>
      </w:pPr>
      <w:r>
        <w:rPr>
          <w:b/>
          <w:bCs/>
        </w:rPr>
        <w:t xml:space="preserve">Do not </w:t>
      </w:r>
      <w:r>
        <w:t xml:space="preserve">lead sales conversations with payers or RBMs. Take the meeting if they call; don’t chase them.</w:t>
      </w:r>
    </w:p>
    <w:p>
      <w:pPr>
        <w:pStyle w:val="ListParagraph"/>
        <w:numPr>
          <w:ilvl w:val="0"/>
          <w:numId w:val="3"/>
        </w:numPr>
        <w:spacing w:after="70" w:line="270"/>
      </w:pPr>
      <w:r>
        <w:rPr>
          <w:b/>
          <w:bCs/>
        </w:rPr>
        <w:t xml:space="preserve">Do not </w:t>
      </w:r>
      <w:r>
        <w:t xml:space="preserve">position ARKA as a “prior-auth automation” company. That is Optum’s lane and a race to commodity pricing.</w:t>
      </w:r>
    </w:p>
    <w:p>
      <w:pPr>
        <w:pStyle w:val="ListParagraph"/>
        <w:numPr>
          <w:ilvl w:val="0"/>
          <w:numId w:val="3"/>
        </w:numPr>
        <w:spacing w:after="70" w:line="270"/>
      </w:pPr>
      <w:r>
        <w:rPr>
          <w:b/>
          <w:bCs/>
        </w:rPr>
        <w:t xml:space="preserve">Do not </w:t>
      </w:r>
      <w:r>
        <w:t xml:space="preserve">try to ship all four products (CLIN, ED, INS, RURAL) at once. CLIN is the wedge. ED and RURAL are credibility/PR and wedge-into-hard-to-reach accounts. INS is the expansion.</w:t>
      </w:r>
    </w:p>
    <w:p>
      <w:r>
        <w:br w:type="page"/>
      </w:r>
    </w:p>
    <w:p>
      <w:pPr>
        <w:pStyle w:val="Heading1"/>
      </w:pPr>
      <w:r>
        <w:t xml:space="preserve">2. The Unicorn Thesis: How ARKA Becomes $1B+</w:t>
      </w:r>
    </w:p>
    <w:p>
      <w:pPr>
        <w:spacing w:after="140" w:line="276"/>
      </w:pPr>
      <w:r>
        <w:t xml:space="preserve">A unicorn needs a believable path to ~$100M+ ARR. Here is the staircase, with the logic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160"/>
        <w:gridCol w:w="2600"/>
      </w:tblGrid>
      <w:tr>
        <w:trPr>
          <w:tblHeader/>
        </w:trPr>
        <w:tc>
          <w:tcPr>
            <w:tcW w:type="dxa" w:w="1500"/>
            <w:shd w:fill="0E7C6B" w:val="clear"/>
            <w:tcMar>
              <w:top w:type="dxa" w:w="80"/>
              <w:left w:type="dxa" w:w="120"/>
              <w:bottom w:type="dxa" w:w="80"/>
              <w:right w:type="dxa" w:w="120"/>
            </w:tcMar>
          </w:tcPr>
          <w:p>
            <w:r>
              <w:rPr>
                <w:b/>
                <w:bCs/>
                <w:color w:val="FFFFFF"/>
              </w:rPr>
              <w:t xml:space="preserve">Stage</w:t>
            </w:r>
          </w:p>
        </w:tc>
        <w:tc>
          <w:tcPr>
            <w:tcW w:type="dxa" w:w="3100"/>
            <w:shd w:fill="0E7C6B" w:val="clear"/>
            <w:tcMar>
              <w:top w:type="dxa" w:w="80"/>
              <w:left w:type="dxa" w:w="120"/>
              <w:bottom w:type="dxa" w:w="80"/>
              <w:right w:type="dxa" w:w="120"/>
            </w:tcMar>
          </w:tcPr>
          <w:p>
            <w:r>
              <w:rPr>
                <w:b/>
                <w:bCs/>
                <w:color w:val="FFFFFF"/>
              </w:rPr>
              <w:t xml:space="preserve">What you sell</w:t>
            </w:r>
          </w:p>
        </w:tc>
        <w:tc>
          <w:tcPr>
            <w:tcW w:type="dxa" w:w="2160"/>
            <w:shd w:fill="0E7C6B" w:val="clear"/>
            <w:tcMar>
              <w:top w:type="dxa" w:w="80"/>
              <w:left w:type="dxa" w:w="120"/>
              <w:bottom w:type="dxa" w:w="80"/>
              <w:right w:type="dxa" w:w="120"/>
            </w:tcMar>
          </w:tcPr>
          <w:p>
            <w:r>
              <w:rPr>
                <w:b/>
                <w:bCs/>
                <w:color w:val="FFFFFF"/>
              </w:rPr>
              <w:t xml:space="preserve">Who pays</w:t>
            </w:r>
          </w:p>
        </w:tc>
        <w:tc>
          <w:tcPr>
            <w:tcW w:type="dxa" w:w="2600"/>
            <w:shd w:fill="0E7C6B" w:val="clear"/>
            <w:tcMar>
              <w:top w:type="dxa" w:w="80"/>
              <w:left w:type="dxa" w:w="120"/>
              <w:bottom w:type="dxa" w:w="80"/>
              <w:right w:type="dxa" w:w="120"/>
            </w:tcMar>
          </w:tcPr>
          <w:p>
            <w:r>
              <w:rPr>
                <w:b/>
                <w:bCs/>
                <w:color w:val="FFFFFF"/>
              </w:rPr>
              <w:t xml:space="preserve">Why it compounds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Wedge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ARKA-CLIN imaging appropriateness in-workflow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Health systems, imaging groups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Land on highest-margin service line; near-zero workflow change drives adoption</w:t>
            </w:r>
          </w:p>
        </w:tc>
      </w:tr>
      <w:tr>
        <w:tc>
          <w:tcPr>
            <w:tcW w:type="dxa" w:w="15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Trust + data</w:t>
            </w:r>
          </w:p>
        </w:tc>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Same, at scale + benchmarking/analytics</w:t>
            </w:r>
          </w:p>
        </w:tc>
        <w:tc>
          <w:tcPr>
            <w:tcW w:type="dxa" w:w="2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Same, larger contracts</w:t>
            </w:r>
          </w:p>
        </w:tc>
        <w:tc>
          <w:tcPr>
            <w:tcW w:type="dxa" w:w="26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Every order trains a proprietary, patient-level appropriateness + outcomes dataset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The flip</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ARKA-INS — same engine on the payer side (CMS-0057 PAS)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Payers / RBMs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Payers align to the engine providers already trust; you become the shared rail</w:t>
            </w:r>
          </w:p>
        </w:tc>
      </w:tr>
      <w:tr>
        <w:tc>
          <w:tcPr>
            <w:tcW w:type="dxa" w:w="15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Two-sided rail</w:t>
            </w:r>
          </w:p>
        </w:tc>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Network: provider + payer transact on one appropriateness truth</w:t>
            </w:r>
          </w:p>
        </w:tc>
        <w:tc>
          <w:tcPr>
            <w:tcW w:type="dxa" w:w="2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Both sides</w:t>
            </w:r>
          </w:p>
        </w:tc>
        <w:tc>
          <w:tcPr>
            <w:tcW w:type="dxa" w:w="26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Classic marketplace network effect; switching cost on both sides; pricing power</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Platform</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ED (training) + RURAL + adjacent modalities (labs, cardiology, genomics)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New segments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Engine generalizes beyond imaging; TAM expands order-of-magnitude</w:t>
            </w:r>
          </w:p>
        </w:tc>
      </w:tr>
    </w:tbl>
    <w:p>
      <w:pPr>
        <w:spacing w:after="120"/>
      </w:pPr>
    </w:p>
    <w:p>
      <w:pPr>
        <w:spacing w:after="140" w:line="276"/>
      </w:pPr>
      <w:r>
        <w:rPr>
          <w:b/>
          <w:bCs/>
          <w:color w:val="1F2A37"/>
        </w:rPr>
        <w:t xml:space="preserve">The defensible moat: </w:t>
      </w:r>
      <w:r>
        <w:t xml:space="preserve">Optum can match any single feature. It cannot become independent of UnitedHealth, and it cannot run one neutral engine that both providers and payers trust as a shared source of truth. That neutrality is the asset. Protect it like equity.</w:t>
      </w:r>
    </w:p>
    <w:p>
      <w:pPr>
        <w:spacing w:after="140" w:line="276"/>
      </w:pPr>
      <w:r>
        <w:rPr>
          <w:b/>
          <w:bCs/>
          <w:color w:val="1F2A37"/>
        </w:rPr>
        <w:t xml:space="preserve">Why now (2026): </w:t>
      </w:r>
      <w:r>
        <w:t xml:space="preserve">Digital-health funding hit $4B in Q1 2026 — strongest first quarter since the pandemic peak — and AI-enabled startups command an ~83% funding premium and took 62% of US digital-health VC. AI-powered clinical decision support specifically is seeing ~3x YoY funding growth. The repealed PAMA AUC mandate left an appropriateness vacuum. The window is open; it will not stay open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The honest risk to the thesis</w:t>
            </w:r>
          </w:p>
          <w:p>
            <w:pPr>
              <w:spacing w:after="40" w:line="264"/>
            </w:pPr>
            <w:r>
              <w:rPr>
                <w:b/>
                <w:bCs/>
              </w:rPr>
              <w:t xml:space="preserve">Incumbency, not product. </w:t>
            </w:r>
            <w:r>
              <w:t xml:space="preserve">Optum’s threat is that it’s already inside the EHRs and payer contracts. They don’t have to be better — just “good enough and already there.” Your entire GTM is engineered to make ARKA read as a different category (independent appropriateness rail), not a CareSelect alternative a buyer can defer.</w:t>
            </w:r>
          </w:p>
        </w:tc>
      </w:tr>
    </w:tbl>
    <w:p>
      <w:r>
        <w:br w:type="page"/>
      </w:r>
    </w:p>
    <w:p>
      <w:pPr>
        <w:pStyle w:val="Heading1"/>
      </w:pPr>
      <w:r>
        <w:t xml:space="preserve">3. Positioning &amp; Ideal Customer Profile</w:t>
      </w:r>
    </w:p>
    <w:p>
      <w:pPr>
        <w:pStyle w:val="Heading2"/>
      </w:pPr>
      <w:r>
        <w:t xml:space="preserve">The wedge narrative (use this everywhere)</w:t>
      </w:r>
    </w:p>
    <w:p>
      <w:pPr>
        <w:spacing w:after="140" w:line="276"/>
      </w:pPr>
      <w:r>
        <w:t xml:space="preserve">Stop selling “imaging CDS” (sounds like CareSelect). Sell </w:t>
      </w:r>
      <w:r>
        <w:rPr>
          <w:b/>
          <w:bCs/>
        </w:rPr>
        <w:t xml:space="preserve">captured revenue + independence</w:t>
      </w:r>
      <w:r>
        <w:t xml:space="preserve">. The buyer’s problem isn’t “we order the wrong scans” — it’s “we do the right scan and still eat the denial six weeks later, and the only tools to fix it are owned by the insurer denying us.” ARKA is the fix that isn’t owned by the other side of the table.</w:t>
      </w:r>
    </w:p>
    <w:p>
      <w:pPr>
        <w:pStyle w:val="Heading2"/>
      </w:pPr>
      <w:r>
        <w:t xml:space="preserve">Who to target — segment by conflict, not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360"/>
        <w:gridCol w:w="2100"/>
      </w:tblGrid>
      <w:tr>
        <w:trPr>
          <w:tblHeader/>
        </w:trPr>
        <w:tc>
          <w:tcPr>
            <w:tcW w:type="dxa" w:w="1200"/>
            <w:shd w:fill="0E7C6B" w:val="clear"/>
            <w:tcMar>
              <w:top w:type="dxa" w:w="80"/>
              <w:left w:type="dxa" w:w="120"/>
              <w:bottom w:type="dxa" w:w="80"/>
              <w:right w:type="dxa" w:w="120"/>
            </w:tcMar>
          </w:tcPr>
          <w:p>
            <w:r>
              <w:rPr>
                <w:b/>
                <w:bCs/>
                <w:color w:val="FFFFFF"/>
              </w:rPr>
              <w:t xml:space="preserve">Tier</w:t>
            </w:r>
          </w:p>
        </w:tc>
        <w:tc>
          <w:tcPr>
            <w:tcW w:type="dxa" w:w="2700"/>
            <w:shd w:fill="0E7C6B" w:val="clear"/>
            <w:tcMar>
              <w:top w:type="dxa" w:w="80"/>
              <w:left w:type="dxa" w:w="120"/>
              <w:bottom w:type="dxa" w:w="80"/>
              <w:right w:type="dxa" w:w="120"/>
            </w:tcMar>
          </w:tcPr>
          <w:p>
            <w:r>
              <w:rPr>
                <w:b/>
                <w:bCs/>
                <w:color w:val="FFFFFF"/>
              </w:rPr>
              <w:t xml:space="preserve">Segment</w:t>
            </w:r>
          </w:p>
        </w:tc>
        <w:tc>
          <w:tcPr>
            <w:tcW w:type="dxa" w:w="3360"/>
            <w:shd w:fill="0E7C6B" w:val="clear"/>
            <w:tcMar>
              <w:top w:type="dxa" w:w="80"/>
              <w:left w:type="dxa" w:w="120"/>
              <w:bottom w:type="dxa" w:w="80"/>
              <w:right w:type="dxa" w:w="120"/>
            </w:tcMar>
          </w:tcPr>
          <w:p>
            <w:r>
              <w:rPr>
                <w:b/>
                <w:bCs/>
                <w:color w:val="FFFFFF"/>
              </w:rPr>
              <w:t xml:space="preserve">Why they buy ARKA over Optum</w:t>
            </w:r>
          </w:p>
        </w:tc>
        <w:tc>
          <w:tcPr>
            <w:tcW w:type="dxa" w:w="2100"/>
            <w:shd w:fill="0E7C6B" w:val="clear"/>
            <w:tcMar>
              <w:top w:type="dxa" w:w="80"/>
              <w:left w:type="dxa" w:w="120"/>
              <w:bottom w:type="dxa" w:w="80"/>
              <w:right w:type="dxa" w:w="120"/>
            </w:tcMar>
          </w:tcPr>
          <w:p>
            <w:r>
              <w:rPr>
                <w:b/>
                <w:bCs/>
                <w:color w:val="FFFFFF"/>
              </w:rPr>
              <w:t xml:space="preserve">Lead product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 — best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Health systems in active contract/denial friction with UnitedHealth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They will not lean harder on UHC-owned tooling; independence is decisive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ARKA-CLIN + revenue story</w:t>
            </w:r>
          </w:p>
        </w:tc>
      </w:tr>
      <w:tr>
        <w:tc>
          <w:tcPr>
            <w:tcW w:type="dxa" w:w="12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 — best</w:t>
            </w:r>
          </w:p>
        </w:tc>
        <w:tc>
          <w:tcPr>
            <w:tcW w:type="dxa" w:w="2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Independent imaging centers &amp; radiology groups</w:t>
            </w:r>
          </w:p>
        </w:tc>
        <w:tc>
          <w:tcPr>
            <w:tcW w:type="dxa" w:w="33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Imaging is their whole revenue, not a cost to suppress; least payer loyalty</w:t>
            </w:r>
          </w:p>
        </w:tc>
        <w:tc>
          <w:tcPr>
            <w:tcW w:type="dxa" w:w="2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ARKA-CLIN + clean-claims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B — strong</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Rural / low-capacity systems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Underserved by Optum’s enterprise model; you have ARKA-RURAL</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ARKA-RURAL + CLIN</w:t>
            </w:r>
          </w:p>
        </w:tc>
      </w:tr>
      <w:tr>
        <w:tc>
          <w:tcPr>
            <w:tcW w:type="dxa" w:w="12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B — strong</w:t>
            </w:r>
          </w:p>
        </w:tc>
        <w:tc>
          <w:tcPr>
            <w:tcW w:type="dxa" w:w="2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Academic medical centers / residency programs</w:t>
            </w:r>
          </w:p>
        </w:tc>
        <w:tc>
          <w:tcPr>
            <w:tcW w:type="dxa" w:w="33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Want explainability + teaching; ARKA-ED fills the PAMA-AUC training gap</w:t>
            </w:r>
          </w:p>
        </w:tc>
        <w:tc>
          <w:tcPr>
            <w:tcW w:type="dxa" w:w="2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ARKA-ED → CLIN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 — later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Systems deeply Optum-integrated, no payer friction, imaging as cost center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Incumbency wins; revisit after you have proof</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Defer</w:t>
            </w:r>
          </w:p>
        </w:tc>
      </w:tr>
    </w:tbl>
    <w:p>
      <w:pPr>
        <w:spacing w:after="120"/>
      </w:pPr>
    </w:p>
    <w:p>
      <w:pPr>
        <w:spacing w:after="140" w:line="276"/>
      </w:pPr>
      <w:r>
        <w:rPr>
          <w:b/>
          <w:bCs/>
          <w:color w:val="1F2A37"/>
        </w:rPr>
        <w:t xml:space="preserve">Counter-intuitive note: </w:t>
      </w:r>
      <w:r>
        <w:t xml:space="preserve">Systems already on CareSelect can be GOOD targets — they’ve already decided imaging appropriateness is worth paying for. You’re not selling the category, just a better, independent, patient-specific engine. The displacement line: “You already believe in this — here’s the version your insurer doesn’t own, that scores the patient instead of a lookup table, and that gets you paid.”</w:t>
      </w:r>
    </w:p>
    <w:p>
      <w:pPr>
        <w:pStyle w:val="Heading2"/>
      </w:pPr>
      <w:r>
        <w:t xml:space="preserve">The buyers inside the building (who signs what)</w:t>
      </w:r>
    </w:p>
    <w:p>
      <w:pPr>
        <w:pStyle w:val="ListParagraph"/>
        <w:numPr>
          <w:ilvl w:val="0"/>
          <w:numId w:val="3"/>
        </w:numPr>
        <w:spacing w:after="70" w:line="270"/>
      </w:pPr>
      <w:r>
        <w:rPr>
          <w:b/>
          <w:bCs/>
        </w:rPr>
        <w:t xml:space="preserve">Economic buyer: </w:t>
      </w:r>
      <w:r>
        <w:t xml:space="preserve">CFO / VP Revenue Cycle — owns the denial pain. Speak ROI: avoided denials, margin per imaging order, days-to-payment.</w:t>
      </w:r>
    </w:p>
    <w:p>
      <w:pPr>
        <w:pStyle w:val="ListParagraph"/>
        <w:numPr>
          <w:ilvl w:val="0"/>
          <w:numId w:val="3"/>
        </w:numPr>
        <w:spacing w:after="70" w:line="270"/>
      </w:pPr>
      <w:r>
        <w:rPr>
          <w:b/>
          <w:bCs/>
        </w:rPr>
        <w:t xml:space="preserve">Clinical champion: </w:t>
      </w:r>
      <w:r>
        <w:t xml:space="preserve">CMIO / VP Clinical Informatics / Chair of Radiology — owns workflow trust. Speak: zero clicks, &lt;800ms, non-blocking, SHAP transparency.</w:t>
      </w:r>
    </w:p>
    <w:p>
      <w:pPr>
        <w:pStyle w:val="ListParagraph"/>
        <w:numPr>
          <w:ilvl w:val="0"/>
          <w:numId w:val="3"/>
        </w:numPr>
        <w:spacing w:after="70" w:line="270"/>
      </w:pPr>
      <w:r>
        <w:rPr>
          <w:b/>
          <w:bCs/>
        </w:rPr>
        <w:t xml:space="preserve">Technical gatekeeper: </w:t>
      </w:r>
      <w:r>
        <w:t xml:space="preserve">CIO / EHR (Epic/Cerner) team — owns integration risk. Speak: CDS Hooks, SMART-on-FHIR, federated, no PHI movement, security posture.</w:t>
      </w:r>
    </w:p>
    <w:p>
      <w:pPr>
        <w:pStyle w:val="ListParagraph"/>
        <w:numPr>
          <w:ilvl w:val="0"/>
          <w:numId w:val="3"/>
        </w:numPr>
        <w:spacing w:after="70" w:line="270"/>
      </w:pPr>
      <w:r>
        <w:rPr>
          <w:b/>
          <w:bCs/>
        </w:rPr>
        <w:t xml:space="preserve">Champion you start with: </w:t>
      </w:r>
      <w:r>
        <w:t xml:space="preserve">an individual ordering clinician or radiologist who feels the denial pain personally — that’s your LOI signer and your advisory board seed.</w:t>
      </w:r>
    </w:p>
    <w:p>
      <w:r>
        <w:br w:type="page"/>
      </w:r>
    </w:p>
    <w:p>
      <w:pPr>
        <w:pStyle w:val="Heading1"/>
      </w:pPr>
      <w:r>
        <w:t xml:space="preserve">4. The Phased Roadmap (Now → Unicorn)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2660"/>
        <w:gridCol w:w="1800"/>
      </w:tblGrid>
      <w:tr>
        <w:trPr>
          <w:tblHeader/>
        </w:trPr>
        <w:tc>
          <w:tcPr>
            <w:tcW w:type="dxa" w:w="1900"/>
            <w:shd w:fill="0E7C6B" w:val="clear"/>
            <w:tcMar>
              <w:top w:type="dxa" w:w="80"/>
              <w:left w:type="dxa" w:w="120"/>
              <w:bottom w:type="dxa" w:w="80"/>
              <w:right w:type="dxa" w:w="120"/>
            </w:tcMar>
          </w:tcPr>
          <w:p>
            <w:r>
              <w:rPr>
                <w:b/>
                <w:bCs/>
                <w:color w:val="FFFFFF"/>
              </w:rPr>
              <w:t xml:space="preserve">Phase</w:t>
            </w:r>
          </w:p>
        </w:tc>
        <w:tc>
          <w:tcPr>
            <w:tcW w:type="dxa" w:w="1300"/>
            <w:shd w:fill="0E7C6B" w:val="clear"/>
            <w:tcMar>
              <w:top w:type="dxa" w:w="80"/>
              <w:left w:type="dxa" w:w="120"/>
              <w:bottom w:type="dxa" w:w="80"/>
              <w:right w:type="dxa" w:w="120"/>
            </w:tcMar>
          </w:tcPr>
          <w:p>
            <w:r>
              <w:rPr>
                <w:b/>
                <w:bCs/>
                <w:color w:val="FFFFFF"/>
              </w:rPr>
              <w:t xml:space="preserve">Timeline</w:t>
            </w:r>
          </w:p>
        </w:tc>
        <w:tc>
          <w:tcPr>
            <w:tcW w:type="dxa" w:w="1700"/>
            <w:shd w:fill="0E7C6B" w:val="clear"/>
            <w:tcMar>
              <w:top w:type="dxa" w:w="80"/>
              <w:left w:type="dxa" w:w="120"/>
              <w:bottom w:type="dxa" w:w="80"/>
              <w:right w:type="dxa" w:w="120"/>
            </w:tcMar>
          </w:tcPr>
          <w:p>
            <w:r>
              <w:rPr>
                <w:b/>
                <w:bCs/>
                <w:color w:val="FFFFFF"/>
              </w:rPr>
              <w:t xml:space="preserve">Goal</w:t>
            </w:r>
          </w:p>
        </w:tc>
        <w:tc>
          <w:tcPr>
            <w:tcW w:type="dxa" w:w="2660"/>
            <w:shd w:fill="0E7C6B" w:val="clear"/>
            <w:tcMar>
              <w:top w:type="dxa" w:w="80"/>
              <w:left w:type="dxa" w:w="120"/>
              <w:bottom w:type="dxa" w:w="80"/>
              <w:right w:type="dxa" w:w="120"/>
            </w:tcMar>
          </w:tcPr>
          <w:p>
            <w:r>
              <w:rPr>
                <w:b/>
                <w:bCs/>
                <w:color w:val="FFFFFF"/>
              </w:rPr>
              <w:t xml:space="preserve">Exit milestone</w:t>
            </w:r>
          </w:p>
        </w:tc>
        <w:tc>
          <w:tcPr>
            <w:tcW w:type="dxa" w:w="1800"/>
            <w:shd w:fill="0E7C6B" w:val="clear"/>
            <w:tcMar>
              <w:top w:type="dxa" w:w="80"/>
              <w:left w:type="dxa" w:w="120"/>
              <w:bottom w:type="dxa" w:w="80"/>
              <w:right w:type="dxa" w:w="120"/>
            </w:tcMar>
          </w:tcPr>
          <w:p>
            <w:r>
              <w:rPr>
                <w:b/>
                <w:bCs/>
                <w:color w:val="FFFFFF"/>
              </w:rPr>
              <w:t xml:space="preserve">Funding stage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Phase 0 — Proof of demand (YOU ARE HERE)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Now – Month 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LOIs + advisory board</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12–18 LOIs, 5–7 advisors, 2–3 design partners verbally committed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Pre-seed / angel</w:t>
            </w:r>
          </w:p>
        </w:tc>
      </w:tr>
      <w:tr>
        <w:tc>
          <w:tcPr>
            <w:tcW w:type="dxa" w:w="19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Phase 1 — Design partners</w:t>
            </w:r>
          </w:p>
        </w:tc>
        <w:tc>
          <w:tcPr>
            <w:tcW w:type="dxa" w:w="1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Month 3 – 9</w:t>
            </w:r>
          </w:p>
        </w:tc>
        <w:tc>
          <w:tcPr>
            <w:tcW w:type="dxa" w:w="1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Live pilots in real workflow</w:t>
            </w:r>
          </w:p>
        </w:tc>
        <w:tc>
          <w:tcPr>
            <w:tcW w:type="dxa" w:w="26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2–3 deployed pilots, baseline metrics captured</w:t>
            </w:r>
          </w:p>
        </w:tc>
        <w:tc>
          <w:tcPr>
            <w:tcW w:type="dxa" w:w="18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Seed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Phase 2 — Evidence + first revenue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Month 9 – 18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Prove ROI; convert pilots to paid</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2–3 paid contracts, published outcome data, repeatable ROI model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Seed extension / Series A prep</w:t>
            </w:r>
          </w:p>
        </w:tc>
      </w:tr>
      <w:tr>
        <w:tc>
          <w:tcPr>
            <w:tcW w:type="dxa" w:w="19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Phase 3 — Scale provider + payer flip</w:t>
            </w:r>
          </w:p>
        </w:tc>
        <w:tc>
          <w:tcPr>
            <w:tcW w:type="dxa" w:w="1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Month 18 – 36</w:t>
            </w:r>
          </w:p>
        </w:tc>
        <w:tc>
          <w:tcPr>
            <w:tcW w:type="dxa" w:w="1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~10+ systems; first payer/RBM contract</w:t>
            </w:r>
          </w:p>
        </w:tc>
        <w:tc>
          <w:tcPr>
            <w:tcW w:type="dxa" w:w="26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Two-sided reference account live</w:t>
            </w:r>
          </w:p>
        </w:tc>
        <w:tc>
          <w:tcPr>
            <w:tcW w:type="dxa" w:w="18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Series A</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Phase 4 — Two-sided platform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Year 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Network rail; expand modalities</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Net-revenue-retention &gt;120%, multi-segment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Series B+</w:t>
            </w:r>
          </w:p>
        </w:tc>
      </w:tr>
    </w:tbl>
    <w:p>
      <w:pPr>
        <w:spacing w:after="120"/>
      </w:pPr>
    </w:p>
    <w:p>
      <w:pPr>
        <w:spacing w:after="140" w:line="276"/>
      </w:pPr>
      <w:r>
        <w:t xml:space="preserve">The rest of this document goes deep on </w:t>
      </w:r>
      <w:r>
        <w:rPr>
          <w:b/>
          <w:bCs/>
        </w:rPr>
        <w:t xml:space="preserve">Phase 0</w:t>
      </w:r>
      <w:r>
        <w:t xml:space="preserve"> — because that is where you are and where most startups quietly fail by doing it vaguely. Sections 5 and 6 are step-by-step. Section 7 is a literal week-by-week 90-day plan.</w:t>
      </w:r>
    </w:p>
    <w:p>
      <w:r>
        <w:br w:type="page"/>
      </w:r>
    </w:p>
    <w:p>
      <w:pPr>
        <w:pStyle w:val="Heading1"/>
      </w:pPr>
      <w:r>
        <w:t xml:space="preserve">5. Phase 0 Deep Dive — Build the Clinical Advisory Board</w:t>
      </w:r>
    </w:p>
    <w:p>
      <w:pPr>
        <w:spacing w:after="140" w:line="276"/>
      </w:pPr>
      <w:r>
        <w:t xml:space="preserve">The advisory board does four jobs: (1) clinical credibility for investors and buyers, (2) warm introductions to LOI targets, (3) product truth-checking so you don’t build the wrong thing, and (4) regulatory/evidence defensibility. Treat it as a GTM engine, not a logo wall.</w:t>
      </w:r>
    </w:p>
    <w:p>
      <w:pPr>
        <w:pStyle w:val="Heading2"/>
      </w:pPr>
      <w:r>
        <w:t xml:space="preserve">5.1 Composition — who you actually need (target 5–7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0E7C6B" w:val="clear"/>
            <w:tcMar>
              <w:top w:type="dxa" w:w="80"/>
              <w:left w:type="dxa" w:w="120"/>
              <w:bottom w:type="dxa" w:w="80"/>
              <w:right w:type="dxa" w:w="120"/>
            </w:tcMar>
          </w:tcPr>
          <w:p>
            <w:r>
              <w:rPr>
                <w:b/>
                <w:bCs/>
                <w:color w:val="FFFFFF"/>
              </w:rPr>
              <w:t xml:space="preserve">Seat</w:t>
            </w:r>
          </w:p>
        </w:tc>
        <w:tc>
          <w:tcPr>
            <w:tcW w:type="dxa" w:w="3400"/>
            <w:shd w:fill="0E7C6B" w:val="clear"/>
            <w:tcMar>
              <w:top w:type="dxa" w:w="80"/>
              <w:left w:type="dxa" w:w="120"/>
              <w:bottom w:type="dxa" w:w="80"/>
              <w:right w:type="dxa" w:w="120"/>
            </w:tcMar>
          </w:tcPr>
          <w:p>
            <w:r>
              <w:rPr>
                <w:b/>
                <w:bCs/>
                <w:color w:val="FFFFFF"/>
              </w:rPr>
              <w:t xml:space="preserve">Profile</w:t>
            </w:r>
          </w:p>
        </w:tc>
        <w:tc>
          <w:tcPr>
            <w:tcW w:type="dxa" w:w="3660"/>
            <w:shd w:fill="0E7C6B" w:val="clear"/>
            <w:tcMar>
              <w:top w:type="dxa" w:w="80"/>
              <w:left w:type="dxa" w:w="120"/>
              <w:bottom w:type="dxa" w:w="80"/>
              <w:right w:type="dxa" w:w="120"/>
            </w:tcMar>
          </w:tcPr>
          <w:p>
            <w:r>
              <w:rPr>
                <w:b/>
                <w:bCs/>
                <w:color w:val="FFFFFF"/>
              </w:rPr>
              <w:t xml:space="preserve">What they unlock</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Radiologist leader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Chair/vice-chair of radiology at a respected system</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Appropriateness credibility; ACR-world legitimacy; referrals</w:t>
            </w:r>
          </w:p>
        </w:tc>
      </w:tr>
      <w:tr>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Ordering clinician (ED or PCP)</w:t>
            </w:r>
          </w:p>
        </w:tc>
        <w:tc>
          <w:tcPr>
            <w:tcW w:type="dxa" w:w="34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High-volume imaging orderer who feels denial pain</w:t>
            </w:r>
          </w:p>
        </w:tc>
        <w:tc>
          <w:tcPr>
            <w:tcW w:type="dxa" w:w="36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Workflow truth; “would I actually use this” signal</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CMIO / clinical informatics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Has deployed Epic/Cerner CDS before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Integration realism; buyer-side empathy; intro to peers</w:t>
            </w:r>
          </w:p>
        </w:tc>
      </w:tr>
      <w:tr>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Revenue-cycle / payer-contracting expert</w:t>
            </w:r>
          </w:p>
        </w:tc>
        <w:tc>
          <w:tcPr>
            <w:tcW w:type="dxa" w:w="34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VP RevCycle or ex-payer medical director</w:t>
            </w:r>
          </w:p>
        </w:tc>
        <w:tc>
          <w:tcPr>
            <w:tcW w:type="dxa" w:w="36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ROI model validation; the payer-flip roadmap</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Regulatory / health-law advisor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Counsel familiar with FDA Non-Device CDS + CMS-0057</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Protects the §520(o)(1)(E) moat; investor diligence</w:t>
            </w:r>
          </w:p>
        </w:tc>
      </w:tr>
      <w:tr>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(Optional) Health-econ / outcomes researcher</w:t>
            </w:r>
          </w:p>
        </w:tc>
        <w:tc>
          <w:tcPr>
            <w:tcW w:type="dxa" w:w="34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Academic who can co-author evidence</w:t>
            </w:r>
          </w:p>
        </w:tc>
        <w:tc>
          <w:tcPr>
            <w:tcW w:type="dxa" w:w="36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Peer-reviewed publications = fundability</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(Optional) Rural health leader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Critical-access or rural network exec</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Anchors ARKA-RURAL; differentiated PR</w:t>
            </w:r>
          </w:p>
        </w:tc>
      </w:tr>
    </w:tbl>
    <w:p>
      <w:pPr>
        <w:spacing w:after="120"/>
      </w:pPr>
    </w:p>
    <w:p>
      <w:pPr>
        <w:spacing w:after="140" w:line="276"/>
      </w:pPr>
      <w:r>
        <w:rPr>
          <w:b/>
          <w:bCs/>
          <w:color w:val="1F2A37"/>
        </w:rPr>
        <w:t xml:space="preserve">Diversity that matters: </w:t>
      </w:r>
      <w:r>
        <w:t xml:space="preserve">Span at least 3 different institutions and 2 EHR vendors. A board from one hospital looks like a hobby; a board from five looks like a movement — and gives you five referral networks.</w:t>
      </w:r>
    </w:p>
    <w:p>
      <w:pPr>
        <w:pStyle w:val="Heading2"/>
      </w:pPr>
      <w:r>
        <w:t xml:space="preserve">5.2 The offer (what advisors get)</w:t>
      </w:r>
    </w:p>
    <w:p>
      <w:pPr>
        <w:pStyle w:val="ListParagraph"/>
        <w:numPr>
          <w:ilvl w:val="0"/>
          <w:numId w:val="3"/>
        </w:numPr>
        <w:spacing w:after="70" w:line="270"/>
      </w:pPr>
      <w:r>
        <w:rPr>
          <w:b/>
          <w:bCs/>
        </w:rPr>
        <w:t xml:space="preserve">Equity, not cash. </w:t>
      </w:r>
      <w:r>
        <w:t xml:space="preserve">Standard advisor grants: 0.10%–0.50% each, 1–2 year vesting, monthly cliff (often a 25% one-year cliff or simple monthly vest). Use a FAST-style agreement (Founder/Advisor Standard Template) as your starting framework.</w:t>
      </w:r>
    </w:p>
    <w:p>
      <w:pPr>
        <w:pStyle w:val="ListParagraph"/>
        <w:numPr>
          <w:ilvl w:val="0"/>
          <w:numId w:val="3"/>
        </w:numPr>
        <w:spacing w:after="70" w:line="270"/>
      </w:pPr>
      <w:r>
        <w:rPr>
          <w:b/>
          <w:bCs/>
        </w:rPr>
        <w:t xml:space="preserve">Tiered by involvement: </w:t>
      </w:r>
      <w:r>
        <w:t xml:space="preserve">Standard advisor ~0.10–0.25%; strategic/heavily-involved (e.g., your radiology chair who opens 5 doors) ~0.25–0.50%. Don’t over-grant — you’ll want room for 7–10 advisors total over time.</w:t>
      </w:r>
    </w:p>
    <w:p>
      <w:pPr>
        <w:pStyle w:val="ListParagraph"/>
        <w:numPr>
          <w:ilvl w:val="0"/>
          <w:numId w:val="3"/>
        </w:numPr>
        <w:spacing w:after="70" w:line="270"/>
      </w:pPr>
      <w:r>
        <w:rPr>
          <w:b/>
          <w:bCs/>
        </w:rPr>
        <w:t xml:space="preserve">Clear expectations: </w:t>
      </w:r>
      <w:r>
        <w:t xml:space="preserve">1 monthly call (45–60 min) + ad-hoc intros + name/likeness for fundraising and one quote. Put it in writing so “advisor” doesn’t become “logo who ghosts you.”</w:t>
      </w:r>
    </w:p>
    <w:p>
      <w:pPr>
        <w:pStyle w:val="ListParagraph"/>
        <w:numPr>
          <w:ilvl w:val="0"/>
          <w:numId w:val="3"/>
        </w:numPr>
        <w:spacing w:after="70" w:line="270"/>
      </w:pPr>
      <w:r>
        <w:rPr>
          <w:b/>
          <w:bCs/>
        </w:rPr>
        <w:t xml:space="preserve">Compliance guardrail: </w:t>
      </w:r>
      <w:r>
        <w:t xml:space="preserve">If an advisor is at a system you may sell to, document that advising ≠ a purchasing commitment, and check their institution’s COI policy. Keep the advisory relationship clean of pay-for-referral optics.</w:t>
      </w:r>
    </w:p>
    <w:p>
      <w:pPr>
        <w:pStyle w:val="Heading2"/>
      </w:pPr>
      <w:r>
        <w:t xml:space="preserve">5.3 Step-by-step: stand up the board in 30 days</w:t>
      </w:r>
    </w:p>
    <w:p>
      <w:pPr>
        <w:pStyle w:val="ListParagraph"/>
        <w:numPr>
          <w:ilvl w:val="0"/>
          <w:numId w:val="2"/>
        </w:numPr>
        <w:spacing w:after="70" w:line="270"/>
      </w:pPr>
      <w:r>
        <w:t xml:space="preserve">Build a target list of 15–20 candidates (you’ll convert ~5–7). Source from: your existing clinician contacts, LinkedIn, authors of imaging-appropriateness papers, ACR committee members, residency program directors.</w:t>
      </w:r>
    </w:p>
    <w:p>
      <w:pPr>
        <w:pStyle w:val="ListParagraph"/>
        <w:numPr>
          <w:ilvl w:val="0"/>
          <w:numId w:val="2"/>
        </w:numPr>
        <w:spacing w:after="70" w:line="270"/>
      </w:pPr>
      <w:r>
        <w:t xml:space="preserve">Rank by (a) credibility, (b) reachability (warm intro?), (c) door-opening power. Prioritize people who are both credible AND connected.</w:t>
      </w:r>
    </w:p>
    <w:p>
      <w:pPr>
        <w:pStyle w:val="ListParagraph"/>
        <w:numPr>
          <w:ilvl w:val="0"/>
          <w:numId w:val="2"/>
        </w:numPr>
        <w:spacing w:after="70" w:line="270"/>
      </w:pPr>
      <w:r>
        <w:t xml:space="preserve">Send the outreach email (Appendix A1). Keep the first ask tiny: a 30-minute conversation, not a commitment.</w:t>
      </w:r>
    </w:p>
    <w:p>
      <w:pPr>
        <w:pStyle w:val="ListParagraph"/>
        <w:numPr>
          <w:ilvl w:val="0"/>
          <w:numId w:val="2"/>
        </w:numPr>
        <w:spacing w:after="70" w:line="270"/>
      </w:pPr>
      <w:r>
        <w:t xml:space="preserve">On the call: 10 min ARKA story + live demo, 15 min their honest reaction, 5 min the ask. Listen more than you pitch — their critique is product gold and makes them feel ownership.</w:t>
      </w:r>
    </w:p>
    <w:p>
      <w:pPr>
        <w:pStyle w:val="ListParagraph"/>
        <w:numPr>
          <w:ilvl w:val="0"/>
          <w:numId w:val="2"/>
        </w:numPr>
        <w:spacing w:after="70" w:line="270"/>
      </w:pPr>
      <w:r>
        <w:t xml:space="preserve">Within 24h, send a recap + the advisor agreement (FAST template) with the specific grant. Speed signals seriousness.</w:t>
      </w:r>
    </w:p>
    <w:p>
      <w:pPr>
        <w:pStyle w:val="ListParagraph"/>
        <w:numPr>
          <w:ilvl w:val="0"/>
          <w:numId w:val="2"/>
        </w:numPr>
        <w:spacing w:after="70" w:line="270"/>
      </w:pPr>
      <w:r>
        <w:t xml:space="preserve">Onboard: a 1-page “what we’re testing this quarter” brief + shared folder (dossier, demo link, evidence library). Make it easy to help you.</w:t>
      </w:r>
    </w:p>
    <w:p>
      <w:pPr>
        <w:pStyle w:val="ListParagraph"/>
        <w:numPr>
          <w:ilvl w:val="0"/>
          <w:numId w:val="2"/>
        </w:numPr>
        <w:spacing w:after="70" w:line="270"/>
      </w:pPr>
      <w:r>
        <w:t xml:space="preserve">Set the cadence: a recurring monthly 45-min group call + a private channel (Slack/Signal) for quick asks. Always come with 1–2 specific requests (“intro to X,” “review this card language”).</w:t>
      </w:r>
    </w:p>
    <w:p>
      <w:pPr>
        <w:pStyle w:val="ListParagraph"/>
        <w:numPr>
          <w:ilvl w:val="0"/>
          <w:numId w:val="2"/>
        </w:numPr>
        <w:spacing w:after="70" w:line="270"/>
      </w:pPr>
      <w:r>
        <w:t xml:space="preserve">Activate for fundraising: collect one quotable sentence and headshot from each for the deck and data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Advisory board success metric (90 days)</w:t>
            </w:r>
          </w:p>
          <w:p>
            <w:pPr>
              <w:spacing w:after="40" w:line="264"/>
            </w:pPr>
            <w:r>
              <w:rPr>
                <w:b/>
                <w:bCs/>
              </w:rPr>
              <w:t xml:space="preserve">5–7 signed advisors across ≥3 institutions, </w:t>
            </w:r>
            <w:r>
              <w:t xml:space="preserve">each having made ≥1 warm intro to an LOI target, and ≥2 willing to be named references in your fundraising data room.</w:t>
            </w:r>
          </w:p>
        </w:tc>
      </w:tr>
    </w:tbl>
    <w:p>
      <w:r>
        <w:br w:type="page"/>
      </w:r>
    </w:p>
    <w:p>
      <w:pPr>
        <w:pStyle w:val="Heading1"/>
      </w:pPr>
      <w:r>
        <w:t xml:space="preserve">6. Phase 0 Deep Dive — Convert Clinician LOIs</w:t>
      </w:r>
    </w:p>
    <w:p>
      <w:pPr>
        <w:spacing w:after="140" w:line="276"/>
      </w:pPr>
      <w:r>
        <w:t xml:space="preserve">An LOI (Letter of Intent) is a non-binding signal that a clinician/system intends to pilot or buy if ARKA delivers X. To investors, a stack of LOIs is </w:t>
      </w:r>
      <w:r>
        <w:rPr>
          <w:b/>
          <w:bCs/>
        </w:rPr>
        <w:t xml:space="preserve">evidence of demand</w:t>
      </w:r>
      <w:r>
        <w:t xml:space="preserve">. The quality of the LOI matters more than the count — a vague “this looks cool” LOI is worth little; a specific “we will run a 90-day pilot on advanced imaging orders if you integrate with our Epic” LOI is gold.</w:t>
      </w:r>
    </w:p>
    <w:p>
      <w:pPr>
        <w:pStyle w:val="Heading2"/>
      </w:pPr>
      <w:r>
        <w:t xml:space="preserve">6.1 What a strong ARKA LOI contains</w:t>
      </w:r>
    </w:p>
    <w:p>
      <w:pPr>
        <w:pStyle w:val="ListParagraph"/>
        <w:numPr>
          <w:ilvl w:val="0"/>
          <w:numId w:val="3"/>
        </w:numPr>
        <w:spacing w:after="70" w:line="270"/>
      </w:pPr>
      <w:r>
        <w:rPr>
          <w:b/>
          <w:bCs/>
        </w:rPr>
        <w:t xml:space="preserve">Named signer + role + institution </w:t>
      </w:r>
      <w:r>
        <w:t xml:space="preserve">(ideally a decision-influencer: CMIO, radiology chair, ED medical director).</w:t>
      </w:r>
    </w:p>
    <w:p>
      <w:pPr>
        <w:pStyle w:val="ListParagraph"/>
        <w:numPr>
          <w:ilvl w:val="0"/>
          <w:numId w:val="3"/>
        </w:numPr>
        <w:spacing w:after="70" w:line="270"/>
      </w:pPr>
      <w:r>
        <w:rPr>
          <w:b/>
          <w:bCs/>
        </w:rPr>
        <w:t xml:space="preserve">Specific intended use: </w:t>
      </w:r>
      <w:r>
        <w:t xml:space="preserve">e.g., “pilot ARKA-CLIN for advanced imaging (CT/MR) order entry in the ED.”</w:t>
      </w:r>
    </w:p>
    <w:p>
      <w:pPr>
        <w:pStyle w:val="ListParagraph"/>
        <w:numPr>
          <w:ilvl w:val="0"/>
          <w:numId w:val="3"/>
        </w:numPr>
        <w:spacing w:after="70" w:line="270"/>
      </w:pPr>
      <w:r>
        <w:rPr>
          <w:b/>
          <w:bCs/>
        </w:rPr>
        <w:t xml:space="preserve">A trigger condition: </w:t>
      </w:r>
      <w:r>
        <w:t xml:space="preserve">“…contingent on EHR integration and IRB/security review,” so it’s honest and signable without procurement.</w:t>
      </w:r>
    </w:p>
    <w:p>
      <w:pPr>
        <w:pStyle w:val="ListParagraph"/>
        <w:numPr>
          <w:ilvl w:val="0"/>
          <w:numId w:val="3"/>
        </w:numPr>
        <w:spacing w:after="70" w:line="270"/>
      </w:pPr>
      <w:r>
        <w:rPr>
          <w:b/>
          <w:bCs/>
        </w:rPr>
        <w:t xml:space="preserve">A rough scope/number: </w:t>
      </w:r>
      <w:r>
        <w:t xml:space="preserve">orders/month or # of providers — lets you size pilot ROI.</w:t>
      </w:r>
    </w:p>
    <w:p>
      <w:pPr>
        <w:pStyle w:val="ListParagraph"/>
        <w:numPr>
          <w:ilvl w:val="0"/>
          <w:numId w:val="3"/>
        </w:numPr>
        <w:spacing w:after="70" w:line="270"/>
      </w:pPr>
      <w:r>
        <w:rPr>
          <w:b/>
          <w:bCs/>
        </w:rPr>
        <w:t xml:space="preserve">Quote-ability: </w:t>
      </w:r>
      <w:r>
        <w:t xml:space="preserve">one sentence on why they want it (“denials on justified imaging are a real problem for us”).</w:t>
      </w:r>
    </w:p>
    <w:p>
      <w:pPr>
        <w:pStyle w:val="Heading2"/>
      </w:pPr>
      <w:r>
        <w:t xml:space="preserve">6.2 The LOI funnel — conversion math</w:t>
      </w:r>
    </w:p>
    <w:p>
      <w:pPr>
        <w:spacing w:after="140" w:line="276"/>
      </w:pPr>
      <w:r>
        <w:t xml:space="preserve">Plan the funnel backwards from your goal. To land </w:t>
      </w:r>
      <w:r>
        <w:rPr>
          <w:b/>
          <w:bCs/>
        </w:rPr>
        <w:t xml:space="preserve">12–18 signed LOIs</w:t>
      </w:r>
      <w:r>
        <w:t xml:space="preserve"> 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0E7C6B" w:val="clear"/>
            <w:tcMar>
              <w:top w:type="dxa" w:w="80"/>
              <w:left w:type="dxa" w:w="120"/>
              <w:bottom w:type="dxa" w:w="80"/>
              <w:right w:type="dxa" w:w="120"/>
            </w:tcMar>
          </w:tcPr>
          <w:p>
            <w:r>
              <w:rPr>
                <w:b/>
                <w:bCs/>
                <w:color w:val="FFFFFF"/>
              </w:rPr>
              <w:t xml:space="preserve">Funnel stage</w:t>
            </w:r>
          </w:p>
        </w:tc>
        <w:tc>
          <w:tcPr>
            <w:tcW w:type="dxa" w:w="2400"/>
            <w:shd w:fill="0E7C6B" w:val="clear"/>
            <w:tcMar>
              <w:top w:type="dxa" w:w="80"/>
              <w:left w:type="dxa" w:w="120"/>
              <w:bottom w:type="dxa" w:w="80"/>
              <w:right w:type="dxa" w:w="120"/>
            </w:tcMar>
          </w:tcPr>
          <w:p>
            <w:r>
              <w:rPr>
                <w:b/>
                <w:bCs/>
                <w:color w:val="FFFFFF"/>
              </w:rPr>
              <w:t xml:space="preserve">Conversion</w:t>
            </w:r>
          </w:p>
        </w:tc>
        <w:tc>
          <w:tcPr>
            <w:tcW w:type="dxa" w:w="2760"/>
            <w:shd w:fill="0E7C6B" w:val="clear"/>
            <w:tcMar>
              <w:top w:type="dxa" w:w="80"/>
              <w:left w:type="dxa" w:w="120"/>
              <w:bottom w:type="dxa" w:w="80"/>
              <w:right w:type="dxa" w:w="120"/>
            </w:tcMar>
          </w:tcPr>
          <w:p>
            <w:r>
              <w:rPr>
                <w:b/>
                <w:bCs/>
                <w:color w:val="FFFFFF"/>
              </w:rPr>
              <w:t xml:space="preserve">Volume needed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Target list (qualified clinicians)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~80–100</w:t>
            </w:r>
          </w:p>
        </w:tc>
      </w:tr>
      <w:tr>
        <w:tc>
          <w:tcPr>
            <w:tcW w:type="dxa" w:w="42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Warm intro or cold outreach sent</w:t>
            </w:r>
          </w:p>
        </w:tc>
        <w:tc>
          <w:tcPr>
            <w:tcW w:type="dxa" w:w="24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w:t>
            </w:r>
          </w:p>
        </w:tc>
        <w:tc>
          <w:tcPr>
            <w:tcW w:type="dxa" w:w="27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~80–100</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Discovery call booked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~30–40%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~30–35 calls</w:t>
            </w:r>
          </w:p>
        </w:tc>
      </w:tr>
      <w:tr>
        <w:tc>
          <w:tcPr>
            <w:tcW w:type="dxa" w:w="42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Demo + interest</w:t>
            </w:r>
          </w:p>
        </w:tc>
        <w:tc>
          <w:tcPr>
            <w:tcW w:type="dxa" w:w="24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~70%</w:t>
            </w:r>
          </w:p>
        </w:tc>
        <w:tc>
          <w:tcPr>
            <w:tcW w:type="dxa" w:w="27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~22–24</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Signed LOI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~60–70%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~14–18 LOIs</w:t>
            </w:r>
          </w:p>
        </w:tc>
      </w:tr>
    </w:tbl>
    <w:p>
      <w:pPr>
        <w:spacing w:after="120"/>
      </w:pPr>
    </w:p>
    <w:p>
      <w:pPr>
        <w:spacing w:after="140" w:line="276"/>
      </w:pPr>
      <w:r>
        <w:rPr>
          <w:b/>
          <w:bCs/>
          <w:color w:val="1F2A37"/>
        </w:rPr>
        <w:t xml:space="preserve">The multiplier: </w:t>
      </w:r>
      <w:r>
        <w:t xml:space="preserve">Warm intros (from advisors) convert 3–5x better than cold. This is exactly why Section 5 (advisory board) comes first — each advisor should generate 3–5 warm LOI intros. Five advisors × 4 intros = your entire pipeline.</w:t>
      </w:r>
    </w:p>
    <w:p>
      <w:pPr>
        <w:pStyle w:val="Heading2"/>
      </w:pPr>
      <w:r>
        <w:t xml:space="preserve">6.3 Step-by-step: run the LOI campaign</w:t>
      </w:r>
    </w:p>
    <w:p>
      <w:pPr>
        <w:pStyle w:val="ListParagraph"/>
        <w:numPr>
          <w:ilvl w:val="0"/>
          <w:numId w:val="2"/>
        </w:numPr>
        <w:spacing w:after="70" w:line="270"/>
      </w:pPr>
      <w:r>
        <w:t xml:space="preserve">Define your one-sentence pilot offer (the “ask”): e.g., “A free 90-day pilot of ARKA-CLIN in your imaging-order workflow; you give feedback and a baseline denial number; we prove ROI.”</w:t>
      </w:r>
    </w:p>
    <w:p>
      <w:pPr>
        <w:pStyle w:val="ListParagraph"/>
        <w:numPr>
          <w:ilvl w:val="0"/>
          <w:numId w:val="2"/>
        </w:numPr>
        <w:spacing w:after="70" w:line="270"/>
      </w:pPr>
      <w:r>
        <w:t xml:space="preserve">Build the target list (80–100) in a simple CRM (even a spreadsheet). Columns: name, role, system, source, warm-intro path, status, EHR, segment tier (from Section 3).</w:t>
      </w:r>
    </w:p>
    <w:p>
      <w:pPr>
        <w:pStyle w:val="ListParagraph"/>
        <w:numPr>
          <w:ilvl w:val="0"/>
          <w:numId w:val="2"/>
        </w:numPr>
        <w:spacing w:after="70" w:line="270"/>
      </w:pPr>
      <w:r>
        <w:t xml:space="preserve">Prioritize Tier-A segments (UHC-friction systems, independent imaging groups). Ask advisors for intros to these first.</w:t>
      </w:r>
    </w:p>
    <w:p>
      <w:pPr>
        <w:pStyle w:val="ListParagraph"/>
        <w:numPr>
          <w:ilvl w:val="0"/>
          <w:numId w:val="2"/>
        </w:numPr>
        <w:spacing w:after="70" w:line="270"/>
      </w:pPr>
      <w:r>
        <w:t xml:space="preserve">Run discovery calls using the script (Appendix A3). Goal of call #1 is to learn their denial pain and qualify — not to close.</w:t>
      </w:r>
    </w:p>
    <w:p>
      <w:pPr>
        <w:pStyle w:val="ListParagraph"/>
        <w:numPr>
          <w:ilvl w:val="0"/>
          <w:numId w:val="2"/>
        </w:numPr>
        <w:spacing w:after="70" w:line="270"/>
      </w:pPr>
      <w:r>
        <w:t xml:space="preserve">Demo the wedge: show an advanced-imaging order flowing through ARKA in &lt;800ms with a SHAP-explained appropriateness result and the denial-risk flag. Contrast (gently) with a static 1–9 ACR score.</w:t>
      </w:r>
    </w:p>
    <w:p>
      <w:pPr>
        <w:pStyle w:val="ListParagraph"/>
        <w:numPr>
          <w:ilvl w:val="0"/>
          <w:numId w:val="2"/>
        </w:numPr>
        <w:spacing w:after="70" w:line="270"/>
      </w:pPr>
      <w:r>
        <w:t xml:space="preserve">Send the LOI within 24h of a positive demo, pre-filled with their specifics so they only sign (Appendix A2). Friction kills LOIs.</w:t>
      </w:r>
    </w:p>
    <w:p>
      <w:pPr>
        <w:pStyle w:val="ListParagraph"/>
        <w:numPr>
          <w:ilvl w:val="0"/>
          <w:numId w:val="2"/>
        </w:numPr>
        <w:spacing w:after="70" w:line="270"/>
      </w:pPr>
      <w:r>
        <w:t xml:space="preserve">Follow up on a 2-3-7 cadence (day 2, day 3, day 7). Most LOIs close on follow-up 2 or 3, not the first send.</w:t>
      </w:r>
    </w:p>
    <w:p>
      <w:pPr>
        <w:pStyle w:val="ListParagraph"/>
        <w:numPr>
          <w:ilvl w:val="0"/>
          <w:numId w:val="2"/>
        </w:numPr>
        <w:spacing w:after="70" w:line="270"/>
      </w:pPr>
      <w:r>
        <w:t xml:space="preserve">Log every “no” and why. Objection patterns tell you what to fix (Appendix A4 has rebuttals).</w:t>
      </w:r>
    </w:p>
    <w:p>
      <w:pPr>
        <w:pStyle w:val="ListParagraph"/>
        <w:numPr>
          <w:ilvl w:val="0"/>
          <w:numId w:val="2"/>
        </w:numPr>
        <w:spacing w:after="70" w:line="270"/>
      </w:pPr>
      <w:r>
        <w:t xml:space="preserve">Convert the best 2–3 LOI signers into design partners (Phase 1) — the ones with real order volume and an internal champion who can get you through security/IRB.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LOI success metric (90 days)</w:t>
            </w:r>
          </w:p>
          <w:p>
            <w:pPr>
              <w:spacing w:after="40" w:line="264"/>
            </w:pPr>
            <w:r>
              <w:rPr>
                <w:b/>
                <w:bCs/>
              </w:rPr>
              <w:t xml:space="preserve">12–18 signed LOIs</w:t>
            </w:r>
            <w:r>
              <w:t xml:space="preserve">, at least 6 from Tier-A segments, with 2–3 converting to committed design partners. Package these into a one-page “demand evidence” slide for your raise.</w:t>
            </w:r>
          </w:p>
        </w:tc>
      </w:tr>
    </w:tbl>
    <w:p>
      <w:r>
        <w:br w:type="page"/>
      </w:r>
    </w:p>
    <w:p>
      <w:pPr>
        <w:pStyle w:val="Heading1"/>
      </w:pPr>
      <w:r>
        <w:t xml:space="preserve">7. The 90-Day Sprint Plan (Week by Week)</w:t>
      </w:r>
    </w:p>
    <w:p>
      <w:pPr>
        <w:spacing w:after="140" w:line="276"/>
      </w:pPr>
      <w:r>
        <w:t xml:space="preserve">This is the part to print and tape to your wall. Two parallel tracks: </w:t>
      </w:r>
      <w:r>
        <w:rPr>
          <w:b/>
          <w:bCs/>
        </w:rPr>
        <w:t xml:space="preserve">Advisory Board</w:t>
      </w:r>
      <w:r>
        <w:t xml:space="preserve"> and </w:t>
      </w:r>
      <w:r>
        <w:rPr>
          <w:b/>
          <w:bCs/>
        </w:rPr>
        <w:t xml:space="preserve">LOIs</w:t>
      </w:r>
      <w:r>
        <w:t xml:space="preserve">, feeding each other.</w:t>
      </w:r>
    </w:p>
    <w:p>
      <w:pPr>
        <w:pStyle w:val="Heading3"/>
      </w:pPr>
      <w:r>
        <w:t xml:space="preserve">Weeks 1–2 — Foundation</w:t>
      </w:r>
    </w:p>
    <w:p>
      <w:pPr>
        <w:pStyle w:val="ListParagraph"/>
        <w:numPr>
          <w:ilvl w:val="0"/>
          <w:numId w:val="3"/>
        </w:numPr>
        <w:spacing w:after="70" w:line="270"/>
      </w:pPr>
      <w:r>
        <w:t xml:space="preserve">Finalize the one-sentence pilot offer and the wedge narrative (Sections 0 &amp; 3).</w:t>
      </w:r>
    </w:p>
    <w:p>
      <w:pPr>
        <w:pStyle w:val="ListParagraph"/>
        <w:numPr>
          <w:ilvl w:val="0"/>
          <w:numId w:val="3"/>
        </w:numPr>
        <w:spacing w:after="70" w:line="270"/>
      </w:pPr>
      <w:r>
        <w:t xml:space="preserve">Build both target lists: 15–20 advisors, 80–100 LOI clinicians, in a CRM/sheet.</w:t>
      </w:r>
    </w:p>
    <w:p>
      <w:pPr>
        <w:pStyle w:val="ListParagraph"/>
        <w:numPr>
          <w:ilvl w:val="0"/>
          <w:numId w:val="3"/>
        </w:numPr>
        <w:spacing w:after="70" w:line="270"/>
      </w:pPr>
      <w:r>
        <w:t xml:space="preserve">Tighten the 5-minute demo to the imaging wedge (order → &lt;800ms → SHAP result → denial flag).</w:t>
      </w:r>
    </w:p>
    <w:p>
      <w:pPr>
        <w:pStyle w:val="ListParagraph"/>
        <w:numPr>
          <w:ilvl w:val="0"/>
          <w:numId w:val="3"/>
        </w:numPr>
        <w:spacing w:after="70" w:line="270"/>
      </w:pPr>
      <w:r>
        <w:t xml:space="preserve">Draft advisor agreement (FAST template) and LOI template; have counsel glance at both.</w:t>
      </w:r>
    </w:p>
    <w:p>
      <w:pPr>
        <w:pStyle w:val="Heading3"/>
      </w:pPr>
      <w:r>
        <w:t xml:space="preserve">Weeks 3–4 — Seed the board</w:t>
      </w:r>
    </w:p>
    <w:p>
      <w:pPr>
        <w:pStyle w:val="ListParagraph"/>
        <w:numPr>
          <w:ilvl w:val="0"/>
          <w:numId w:val="3"/>
        </w:numPr>
        <w:spacing w:after="70" w:line="270"/>
      </w:pPr>
      <w:r>
        <w:t xml:space="preserve">Send 15–20 advisor outreach emails (Appendix A1); book 30-min calls.</w:t>
      </w:r>
    </w:p>
    <w:p>
      <w:pPr>
        <w:pStyle w:val="ListParagraph"/>
        <w:numPr>
          <w:ilvl w:val="0"/>
          <w:numId w:val="3"/>
        </w:numPr>
        <w:spacing w:after="70" w:line="270"/>
      </w:pPr>
      <w:r>
        <w:t xml:space="preserve">Run advisor calls; aim to verbally land 3–4 of your first advisors.</w:t>
      </w:r>
    </w:p>
    <w:p>
      <w:pPr>
        <w:pStyle w:val="ListParagraph"/>
        <w:numPr>
          <w:ilvl w:val="0"/>
          <w:numId w:val="3"/>
        </w:numPr>
        <w:spacing w:after="70" w:line="270"/>
      </w:pPr>
      <w:r>
        <w:t xml:space="preserve">Send agreements within 24h of each yes. Onboard with the 1-page brief.</w:t>
      </w:r>
    </w:p>
    <w:p>
      <w:pPr>
        <w:pStyle w:val="ListParagraph"/>
        <w:numPr>
          <w:ilvl w:val="0"/>
          <w:numId w:val="3"/>
        </w:numPr>
        <w:spacing w:after="70" w:line="270"/>
      </w:pPr>
      <w:r>
        <w:t xml:space="preserve">Ask each new advisor for 3–5 warm LOI intros — start the pipeline.</w:t>
      </w:r>
    </w:p>
    <w:p>
      <w:pPr>
        <w:pStyle w:val="Heading3"/>
      </w:pPr>
      <w:r>
        <w:t xml:space="preserve">Weeks 5–7 — Open the LOI funnel</w:t>
      </w:r>
    </w:p>
    <w:p>
      <w:pPr>
        <w:pStyle w:val="ListParagraph"/>
        <w:numPr>
          <w:ilvl w:val="0"/>
          <w:numId w:val="3"/>
        </w:numPr>
        <w:spacing w:after="70" w:line="270"/>
      </w:pPr>
      <w:r>
        <w:t xml:space="preserve">Fire the first 40–50 LOI outreaches (warm intros first). Book discovery calls.</w:t>
      </w:r>
    </w:p>
    <w:p>
      <w:pPr>
        <w:pStyle w:val="ListParagraph"/>
        <w:numPr>
          <w:ilvl w:val="0"/>
          <w:numId w:val="3"/>
        </w:numPr>
        <w:spacing w:after="70" w:line="270"/>
      </w:pPr>
      <w:r>
        <w:t xml:space="preserve">Run 15–20 discovery calls; demo to the interested ones.</w:t>
      </w:r>
    </w:p>
    <w:p>
      <w:pPr>
        <w:pStyle w:val="ListParagraph"/>
        <w:numPr>
          <w:ilvl w:val="0"/>
          <w:numId w:val="3"/>
        </w:numPr>
        <w:spacing w:after="70" w:line="270"/>
      </w:pPr>
      <w:r>
        <w:t xml:space="preserve">Send pre-filled LOIs within 24h of positive demos; run 2-3-7 follow-ups.</w:t>
      </w:r>
    </w:p>
    <w:p>
      <w:pPr>
        <w:pStyle w:val="ListParagraph"/>
        <w:numPr>
          <w:ilvl w:val="0"/>
          <w:numId w:val="3"/>
        </w:numPr>
        <w:spacing w:after="70" w:line="270"/>
      </w:pPr>
      <w:r>
        <w:t xml:space="preserve">Hold advisory call #1 (group). Bring 2 specific asks.</w:t>
      </w:r>
    </w:p>
    <w:p>
      <w:pPr>
        <w:pStyle w:val="Heading3"/>
      </w:pPr>
      <w:r>
        <w:t xml:space="preserve">Weeks 8–10 — Convert</w:t>
      </w:r>
    </w:p>
    <w:p>
      <w:pPr>
        <w:pStyle w:val="ListParagraph"/>
        <w:numPr>
          <w:ilvl w:val="0"/>
          <w:numId w:val="3"/>
        </w:numPr>
        <w:spacing w:after="70" w:line="270"/>
      </w:pPr>
      <w:r>
        <w:t xml:space="preserve">Push to 6–8 signed LOIs; fill the board to 5–7 advisors.</w:t>
      </w:r>
    </w:p>
    <w:p>
      <w:pPr>
        <w:pStyle w:val="ListParagraph"/>
        <w:numPr>
          <w:ilvl w:val="0"/>
          <w:numId w:val="3"/>
        </w:numPr>
        <w:spacing w:after="70" w:line="270"/>
      </w:pPr>
      <w:r>
        <w:t xml:space="preserve">Send the second 40–50 LOI outreaches; keep demoing.</w:t>
      </w:r>
    </w:p>
    <w:p>
      <w:pPr>
        <w:pStyle w:val="ListParagraph"/>
        <w:numPr>
          <w:ilvl w:val="0"/>
          <w:numId w:val="3"/>
        </w:numPr>
        <w:spacing w:after="70" w:line="270"/>
      </w:pPr>
      <w:r>
        <w:t xml:space="preserve">Identify your 2–3 design-partner candidates (real volume + internal champion).</w:t>
      </w:r>
    </w:p>
    <w:p>
      <w:pPr>
        <w:pStyle w:val="ListParagraph"/>
        <w:numPr>
          <w:ilvl w:val="0"/>
          <w:numId w:val="3"/>
        </w:numPr>
        <w:spacing w:after="70" w:line="270"/>
      </w:pPr>
      <w:r>
        <w:t xml:space="preserve">Start security/IRB/EHR-integration conversations with those 2–3.</w:t>
      </w:r>
    </w:p>
    <w:p>
      <w:pPr>
        <w:pStyle w:val="Heading3"/>
      </w:pPr>
      <w:r>
        <w:t xml:space="preserve">Weeks 11–12 — Package &amp; raise</w:t>
      </w:r>
    </w:p>
    <w:p>
      <w:pPr>
        <w:pStyle w:val="ListParagraph"/>
        <w:numPr>
          <w:ilvl w:val="0"/>
          <w:numId w:val="3"/>
        </w:numPr>
        <w:spacing w:after="70" w:line="270"/>
      </w:pPr>
      <w:r>
        <w:t xml:space="preserve">Cross 12–18 signed LOIs; lock 2–3 design partners verbally.</w:t>
      </w:r>
    </w:p>
    <w:p>
      <w:pPr>
        <w:pStyle w:val="ListParagraph"/>
        <w:numPr>
          <w:ilvl w:val="0"/>
          <w:numId w:val="3"/>
        </w:numPr>
        <w:spacing w:after="70" w:line="270"/>
      </w:pPr>
      <w:r>
        <w:t xml:space="preserve">Build the “demand evidence” one-pager + advisor quotes/headshots for the deck.</w:t>
      </w:r>
    </w:p>
    <w:p>
      <w:pPr>
        <w:pStyle w:val="ListParagraph"/>
        <w:numPr>
          <w:ilvl w:val="0"/>
          <w:numId w:val="3"/>
        </w:numPr>
        <w:spacing w:after="70" w:line="270"/>
      </w:pPr>
      <w:r>
        <w:t xml:space="preserve">Assemble the data room (LOIs, advisor list, dossier, scope-boundary/regulatory memos, demo).</w:t>
      </w:r>
    </w:p>
    <w:p>
      <w:pPr>
        <w:pStyle w:val="ListParagraph"/>
        <w:numPr>
          <w:ilvl w:val="0"/>
          <w:numId w:val="3"/>
        </w:numPr>
        <w:spacing w:after="70" w:line="270"/>
      </w:pPr>
      <w:r>
        <w:t xml:space="preserve">Begin pre-seed/seed conversations with the traction package in hand.</w:t>
      </w:r>
    </w:p>
    <w:p>
      <w:r>
        <w:br w:type="page"/>
      </w:r>
    </w:p>
    <w:p>
      <w:pPr>
        <w:pStyle w:val="Heading1"/>
      </w:pPr>
      <w:r>
        <w:t xml:space="preserve">8. Metrics &amp; KPIs to Track</w:t>
      </w:r>
    </w:p>
    <w:p>
      <w:pPr>
        <w:pStyle w:val="Heading2"/>
      </w:pPr>
      <w:r>
        <w:t xml:space="preserve">Phase 0 (now) — demand &amp; credibility</w:t>
      </w:r>
    </w:p>
    <w:p>
      <w:pPr>
        <w:pStyle w:val="ListParagraph"/>
        <w:numPr>
          <w:ilvl w:val="0"/>
          <w:numId w:val="3"/>
        </w:numPr>
        <w:spacing w:after="70" w:line="270"/>
      </w:pPr>
      <w:r>
        <w:t xml:space="preserve">Signed LOIs (count + % Tier-A); warm-intro conversion rate.</w:t>
      </w:r>
    </w:p>
    <w:p>
      <w:pPr>
        <w:pStyle w:val="ListParagraph"/>
        <w:numPr>
          <w:ilvl w:val="0"/>
          <w:numId w:val="3"/>
        </w:numPr>
        <w:spacing w:after="70" w:line="270"/>
      </w:pPr>
      <w:r>
        <w:t xml:space="preserve">Advisors signed across # of institutions; intros generated per advisor.</w:t>
      </w:r>
    </w:p>
    <w:p>
      <w:pPr>
        <w:pStyle w:val="ListParagraph"/>
        <w:numPr>
          <w:ilvl w:val="0"/>
          <w:numId w:val="3"/>
        </w:numPr>
        <w:spacing w:after="70" w:line="270"/>
      </w:pPr>
      <w:r>
        <w:t xml:space="preserve">Discovery-call → demo → LOI conversion at each step (find the leak).</w:t>
      </w:r>
    </w:p>
    <w:p>
      <w:pPr>
        <w:pStyle w:val="ListParagraph"/>
        <w:numPr>
          <w:ilvl w:val="0"/>
          <w:numId w:val="3"/>
        </w:numPr>
        <w:spacing w:after="70" w:line="270"/>
      </w:pPr>
      <w:r>
        <w:t xml:space="preserve">Design partners committed (the leading indicator of Phase 1).</w:t>
      </w:r>
    </w:p>
    <w:p>
      <w:pPr>
        <w:pStyle w:val="Heading2"/>
      </w:pPr>
      <w:r>
        <w:t xml:space="preserve">Phase 1–2 — pilot performance (start capturing now, even manually)</w:t>
      </w:r>
    </w:p>
    <w:p>
      <w:pPr>
        <w:pStyle w:val="ListParagraph"/>
        <w:numPr>
          <w:ilvl w:val="0"/>
          <w:numId w:val="3"/>
        </w:numPr>
        <w:spacing w:after="70" w:line="270"/>
      </w:pPr>
      <w:r>
        <w:t xml:space="preserve">Baseline before ARKA: imaging denial rate, $ written off, days-to-payment.</w:t>
      </w:r>
    </w:p>
    <w:p>
      <w:pPr>
        <w:pStyle w:val="ListParagraph"/>
        <w:numPr>
          <w:ilvl w:val="0"/>
          <w:numId w:val="3"/>
        </w:numPr>
        <w:spacing w:after="70" w:line="270"/>
      </w:pPr>
      <w:r>
        <w:t xml:space="preserve">With ARKA: auto-clear rate (target ~35–40%), first-pass clean-claim rate, denials avoided, $ recovered.</w:t>
      </w:r>
    </w:p>
    <w:p>
      <w:pPr>
        <w:pStyle w:val="ListParagraph"/>
        <w:numPr>
          <w:ilvl w:val="0"/>
          <w:numId w:val="3"/>
        </w:numPr>
        <w:spacing w:after="70" w:line="270"/>
      </w:pPr>
      <w:r>
        <w:t xml:space="preserve">Workflow trust: added clicks (target 0), latency (target &lt;800ms), clinician override rate, “would you keep using it” score.</w:t>
      </w:r>
    </w:p>
    <w:p>
      <w:pPr>
        <w:pStyle w:val="ListParagraph"/>
        <w:numPr>
          <w:ilvl w:val="0"/>
          <w:numId w:val="3"/>
        </w:numPr>
        <w:spacing w:after="70" w:line="270"/>
      </w:pPr>
      <w:r>
        <w:t xml:space="preserve">ROI per system (recovered revenue vs. contract price) — this is the Series-A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The single number investors will ask for</w:t>
            </w:r>
          </w:p>
          <w:p>
            <w:pPr>
              <w:spacing w:after="40" w:line="264"/>
            </w:pPr>
            <w:r>
              <w:rPr>
                <w:b/>
                <w:bCs/>
              </w:rPr>
              <w:t xml:space="preserve">“Dollars of justified imaging revenue ARKA recovers per system per year.” </w:t>
            </w:r>
            <w:r>
              <w:t xml:space="preserve">Your dossier already models ~$3.5M/yr for a mid-sized system. Turn that from a model into a measured number in your first pilots — that conversion is what unlocks the Series A.</w:t>
            </w:r>
          </w:p>
        </w:tc>
      </w:tr>
    </w:tbl>
    <w:p>
      <w:r>
        <w:br w:type="page"/>
      </w:r>
    </w:p>
    <w:p>
      <w:pPr>
        <w:pStyle w:val="Heading1"/>
      </w:pPr>
      <w:r>
        <w:t xml:space="preserve">9. Fundraising Roadmap</w:t>
      </w:r>
    </w:p>
    <w:p>
      <w:pPr>
        <w:spacing w:after="140" w:line="276"/>
      </w:pPr>
      <w:r>
        <w:t xml:space="preserve">Map each raise to a milestone, not a calendar. 2026 context: digital-health Q1 hit $4B; AI startups raised an ~83% premium and 62% of US digital-health VC; median seed ~$10M (averages skewed by megadeals). Clinical validation — not demos — is what gets underwritten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060"/>
        <w:gridCol w:w="2300"/>
      </w:tblGrid>
      <w:tr>
        <w:trPr>
          <w:tblHeader/>
        </w:trPr>
        <w:tc>
          <w:tcPr>
            <w:tcW w:type="dxa" w:w="1700"/>
            <w:shd w:fill="0E7C6B" w:val="clear"/>
            <w:tcMar>
              <w:top w:type="dxa" w:w="80"/>
              <w:left w:type="dxa" w:w="120"/>
              <w:bottom w:type="dxa" w:w="80"/>
              <w:right w:type="dxa" w:w="120"/>
            </w:tcMar>
          </w:tcPr>
          <w:p>
            <w:r>
              <w:rPr>
                <w:b/>
                <w:bCs/>
                <w:color w:val="FFFFFF"/>
              </w:rPr>
              <w:t xml:space="preserve">Raise</w:t>
            </w:r>
          </w:p>
        </w:tc>
        <w:tc>
          <w:tcPr>
            <w:tcW w:type="dxa" w:w="2300"/>
            <w:shd w:fill="0E7C6B" w:val="clear"/>
            <w:tcMar>
              <w:top w:type="dxa" w:w="80"/>
              <w:left w:type="dxa" w:w="120"/>
              <w:bottom w:type="dxa" w:w="80"/>
              <w:right w:type="dxa" w:w="120"/>
            </w:tcMar>
          </w:tcPr>
          <w:p>
            <w:r>
              <w:rPr>
                <w:b/>
                <w:bCs/>
                <w:color w:val="FFFFFF"/>
              </w:rPr>
              <w:t xml:space="preserve">When (milestone-gated)</w:t>
            </w:r>
          </w:p>
        </w:tc>
        <w:tc>
          <w:tcPr>
            <w:tcW w:type="dxa" w:w="3060"/>
            <w:shd w:fill="0E7C6B" w:val="clear"/>
            <w:tcMar>
              <w:top w:type="dxa" w:w="80"/>
              <w:left w:type="dxa" w:w="120"/>
              <w:bottom w:type="dxa" w:w="80"/>
              <w:right w:type="dxa" w:w="120"/>
            </w:tcMar>
          </w:tcPr>
          <w:p>
            <w:r>
              <w:rPr>
                <w:b/>
                <w:bCs/>
                <w:color w:val="FFFFFF"/>
              </w:rPr>
              <w:t xml:space="preserve">What you must show</w:t>
            </w:r>
          </w:p>
        </w:tc>
        <w:tc>
          <w:tcPr>
            <w:tcW w:type="dxa" w:w="2300"/>
            <w:shd w:fill="0E7C6B" w:val="clear"/>
            <w:tcMar>
              <w:top w:type="dxa" w:w="80"/>
              <w:left w:type="dxa" w:w="120"/>
              <w:bottom w:type="dxa" w:w="80"/>
              <w:right w:type="dxa" w:w="120"/>
            </w:tcMar>
          </w:tcPr>
          <w:p>
            <w:r>
              <w:rPr>
                <w:b/>
                <w:bCs/>
                <w:color w:val="FFFFFF"/>
              </w:rPr>
              <w:t xml:space="preserve">Use of funds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Pre-seed / angel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After 12–18 LOIs + advisory board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Demand evidence, team, demo, regulatory moat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First pilots, integration, 1–2 key hires</w:t>
            </w:r>
          </w:p>
        </w:tc>
      </w:tr>
      <w:tr>
        <w:tc>
          <w:tcPr>
            <w:tcW w:type="dxa" w:w="1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Seed</w:t>
            </w:r>
          </w:p>
        </w:tc>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After 2–3 live pilots</w:t>
            </w:r>
          </w:p>
        </w:tc>
        <w:tc>
          <w:tcPr>
            <w:tcW w:type="dxa" w:w="30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Working product in real workflow, baseline metrics, design partners</w:t>
            </w:r>
          </w:p>
        </w:tc>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Sales motion, more pilots, evidence/clinical hire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Series A</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After measured ROI + first paid contracts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Repeatable ROI, ~published outcomes, payer-flip plan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Scale provider GTM, build ARKA-INS, payer pilot</w:t>
            </w:r>
          </w:p>
        </w:tc>
      </w:tr>
      <w:tr>
        <w:tc>
          <w:tcPr>
            <w:tcW w:type="dxa" w:w="17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Series B+</w:t>
            </w:r>
          </w:p>
        </w:tc>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After ~10 systems + first payer contract</w:t>
            </w:r>
          </w:p>
        </w:tc>
        <w:tc>
          <w:tcPr>
            <w:tcW w:type="dxa" w:w="30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Two-sided reference, NRR &gt;120%, expansion modalities</w:t>
            </w:r>
          </w:p>
        </w:tc>
        <w:tc>
          <w:tcPr>
            <w:tcW w:type="dxa" w:w="23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Network scale, new segments, M&amp;A</w:t>
            </w:r>
          </w:p>
        </w:tc>
      </w:tr>
    </w:tbl>
    <w:p>
      <w:pPr>
        <w:spacing w:after="120"/>
      </w:pPr>
    </w:p>
    <w:p>
      <w:pPr>
        <w:spacing w:after="140" w:line="276"/>
      </w:pPr>
      <w:r>
        <w:rPr>
          <w:b/>
          <w:bCs/>
          <w:color w:val="1F2A37"/>
        </w:rPr>
        <w:t xml:space="preserve">Investor targeting: </w:t>
      </w:r>
      <w:r>
        <w:t xml:space="preserve">Provider-led traction reads best to provider-backed VCs (who reward workflow integration + throughput). Keep payer-backed funds for the Series A once the payer-flip story is real. Lead every pitch with the independence moat and the measured recovered-revenue number — not the AI.</w:t>
      </w:r>
    </w:p>
    <w:p>
      <w:r>
        <w:br w:type="page"/>
      </w:r>
    </w:p>
    <w:p>
      <w:pPr>
        <w:pStyle w:val="Heading1"/>
      </w:pPr>
      <w:r>
        <w:t xml:space="preserve">10. Risk Register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5160"/>
      </w:tblGrid>
      <w:tr>
        <w:trPr>
          <w:tblHeader/>
        </w:trPr>
        <w:tc>
          <w:tcPr>
            <w:tcW w:type="dxa" w:w="3100"/>
            <w:shd w:fill="0E7C6B" w:val="clear"/>
            <w:tcMar>
              <w:top w:type="dxa" w:w="80"/>
              <w:left w:type="dxa" w:w="120"/>
              <w:bottom w:type="dxa" w:w="80"/>
              <w:right w:type="dxa" w:w="120"/>
            </w:tcMar>
          </w:tcPr>
          <w:p>
            <w:r>
              <w:rPr>
                <w:b/>
                <w:bCs/>
                <w:color w:val="FFFFFF"/>
              </w:rPr>
              <w:t xml:space="preserve">Risk</w:t>
            </w:r>
          </w:p>
        </w:tc>
        <w:tc>
          <w:tcPr>
            <w:tcW w:type="dxa" w:w="1100"/>
            <w:shd w:fill="0E7C6B" w:val="clear"/>
            <w:tcMar>
              <w:top w:type="dxa" w:w="80"/>
              <w:left w:type="dxa" w:w="120"/>
              <w:bottom w:type="dxa" w:w="80"/>
              <w:right w:type="dxa" w:w="120"/>
            </w:tcMar>
          </w:tcPr>
          <w:p>
            <w:r>
              <w:rPr>
                <w:b/>
                <w:bCs/>
                <w:color w:val="FFFFFF"/>
              </w:rPr>
              <w:t xml:space="preserve">Severity</w:t>
            </w:r>
          </w:p>
        </w:tc>
        <w:tc>
          <w:tcPr>
            <w:tcW w:type="dxa" w:w="5160"/>
            <w:shd w:fill="0E7C6B" w:val="clear"/>
            <w:tcMar>
              <w:top w:type="dxa" w:w="80"/>
              <w:left w:type="dxa" w:w="120"/>
              <w:bottom w:type="dxa" w:w="80"/>
              <w:right w:type="dxa" w:w="120"/>
            </w:tcMar>
          </w:tcPr>
          <w:p>
            <w:r>
              <w:rPr>
                <w:b/>
                <w:bCs/>
                <w:color w:val="FFFFFF"/>
              </w:rPr>
              <w:t xml:space="preserve">Mitigation</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Optum incumbency — “already in the building”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Position as a different category (independent rail), not a CareSelect swap. Target conflict segments where incumbency is a liability, not an asset.</w:t>
            </w:r>
          </w:p>
        </w:tc>
      </w:tr>
      <w:tr>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Optum copies the AI messaging</w:t>
            </w:r>
          </w:p>
        </w:tc>
        <w:tc>
          <w:tcPr>
            <w:tcW w:type="dxa" w:w="1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Medium</w:t>
            </w:r>
          </w:p>
        </w:tc>
        <w:tc>
          <w:tcPr>
            <w:tcW w:type="dxa" w:w="5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Never compete on “AI PA.” Compete on independence + symmetric engine + no-PHI — things they can’t claim.</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ML triggers FDA device regulation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Guard the §520(o)(1)(E) Non-Device CDS boundary (SHAP + Evidence Library + scope-boundary doc). Get counsel sign-off (your memo is still “pending” — close it).</w:t>
            </w:r>
          </w:p>
        </w:tc>
      </w:tr>
      <w:tr>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Long enterprise sales cycle burns runway</w:t>
            </w:r>
          </w:p>
        </w:tc>
        <w:tc>
          <w:tcPr>
            <w:tcW w:type="dxa" w:w="1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Medium</w:t>
            </w:r>
          </w:p>
        </w:tc>
        <w:tc>
          <w:tcPr>
            <w:tcW w:type="dxa" w:w="5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Lead with free 90-day pilots + revenue-recovery ROI to compress cycles; raise milestone-gated.</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Pilot can’t prove ROI</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Capture rigorous baselines BEFORE go-live; pick design partners with real volume + a denial problem you can actually move.</w:t>
            </w:r>
          </w:p>
        </w:tc>
      </w:tr>
      <w:tr>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Advisor/customer COI optics</w:t>
            </w:r>
          </w:p>
        </w:tc>
        <w:tc>
          <w:tcPr>
            <w:tcW w:type="dxa" w:w="1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Medium</w:t>
            </w:r>
          </w:p>
        </w:tc>
        <w:tc>
          <w:tcPr>
            <w:tcW w:type="dxa" w:w="5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Document advising ≠ purchasing; respect institutional COI policies; keep referrals unpaid.</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Data-access cold start (federated needs data)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Use design-partner data under BAA to validate; lean on published AUC + Evidence Library until proprietary data accrues.</w:t>
            </w:r>
          </w:p>
        </w:tc>
      </w:tr>
      <w:tr>
        <w:tc>
          <w:tcPr>
            <w:tcW w:type="dxa" w:w="3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Founder bandwidth (you’re doing all of this)</w:t>
            </w:r>
          </w:p>
        </w:tc>
        <w:tc>
          <w:tcPr>
            <w:tcW w:type="dxa" w:w="11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High</w:t>
            </w:r>
          </w:p>
        </w:tc>
        <w:tc>
          <w:tcPr>
            <w:tcW w:type="dxa" w:w="51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The 90-day sprint is sequenced so the board generates the LOI pipeline — leverage, not brute force. First hire: a clinical/GTM partner.</w:t>
            </w:r>
          </w:p>
        </w:tc>
      </w:tr>
    </w:tbl>
    <w:p>
      <w:r>
        <w:br w:type="page"/>
      </w:r>
    </w:p>
    <w:p>
      <w:pPr>
        <w:pStyle w:val="Heading1"/>
      </w:pPr>
      <w:r>
        <w:t xml:space="preserve">Appendix A — Templates &amp; Scripts</w:t>
      </w:r>
    </w:p>
    <w:p>
      <w:pPr>
        <w:pStyle w:val="Heading2"/>
      </w:pPr>
      <w:r>
        <w:t xml:space="preserve">A1. Advisor outreach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Subject: Quick question on imaging appropriateness (30 min?)</w:t>
            </w:r>
          </w:p>
          <w:p>
            <w:pPr>
              <w:spacing w:after="40" w:line="264"/>
            </w:pPr>
            <w:r>
              <w:t xml:space="preserve">Dr. [Name] —</w:t>
            </w:r>
          </w:p>
          <w:p>
            <w:pPr>
              <w:spacing w:after="40" w:line="264"/>
            </w:pPr>
            <w:r>
              <w:t xml:space="preserve">I’m building ARKA: an independent, evidence-based imaging-appropriateness engine that runs inside the EHR at order entry and helps systems get paid for the justified imaging they already do — without the workflow friction (or the conflict) of an insurer-owned tool.</w:t>
            </w:r>
          </w:p>
          <w:p>
            <w:pPr>
              <w:spacing w:after="40" w:line="264"/>
            </w:pPr>
            <w:r>
              <w:t xml:space="preserve">Your work on [specific thing] is exactly the perspective I need to get this right. Would you be open to a 30-minute call in the next two weeks? I’d love your honest reaction to a short demo — no commitment, I mostly want to be told what’s wrong with it.</w:t>
            </w:r>
          </w:p>
          <w:p>
            <w:pPr>
              <w:spacing w:after="40" w:line="264"/>
            </w:pPr>
            <w:r>
              <w:t xml:space="preserve">Either way, thank you for the work you do. — Arri</w:t>
            </w:r>
          </w:p>
        </w:tc>
      </w:tr>
    </w:tbl>
    <w:p>
      <w:pPr>
        <w:pStyle w:val="Heading2"/>
      </w:pPr>
      <w:r>
        <w:t xml:space="preserve">A2. LOI template (clinician / system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1"/>
              <w:left w:val="single" w:color="0E7C6B" w:sz="18"/>
              <w:bottom w:val="single" w:color="0E7C6B" w:sz="1"/>
              <w:right w:val="single" w:color="0E7C6B" w:sz="1"/>
            </w:tcBorders>
            <w:shd w:fill="E8F3F1" w:val="clear"/>
            <w:tcMar>
              <w:top w:type="dxa" w:w="120"/>
              <w:left w:type="dxa" w:w="200"/>
              <w:bottom w:type="dxa" w:w="120"/>
              <w:right w:type="dxa" w:w="200"/>
            </w:tcMar>
          </w:tcPr>
          <w:p>
            <w:pPr>
              <w:spacing w:after="60"/>
            </w:pPr>
            <w:r>
              <w:rPr>
                <w:b/>
                <w:bCs/>
                <w:color w:val="0B5E51"/>
              </w:rPr>
              <w:t xml:space="preserve">Letter of Intent — ARKA-CLIN Pilot (non-binding)</w:t>
            </w:r>
          </w:p>
          <w:p>
            <w:pPr>
              <w:spacing w:after="40" w:line="264"/>
            </w:pPr>
            <w:r>
              <w:t xml:space="preserve">This letter confirms that [Institution], represented by [Name, Title], intends to participate in a pilot of ARKA-CLIN for [use case, e.g., advanced imaging (CT/MR) order entry in the Emergency Department].</w:t>
            </w:r>
          </w:p>
          <w:p>
            <w:pPr>
              <w:spacing w:after="40" w:line="264"/>
            </w:pPr>
            <w:r>
              <w:t xml:space="preserve">Intended scope: approximately [N] orders/month across [N] ordering clinicians.</w:t>
            </w:r>
          </w:p>
          <w:p>
            <w:pPr>
              <w:spacing w:after="40" w:line="264"/>
            </w:pPr>
            <w:r>
              <w:t xml:space="preserve">This intent is non-binding and contingent on: (1) successful EHR integration ([Epic/Cerner/Athena]); (2) institutional security and privacy review; and (3) any required IRB review.</w:t>
            </w:r>
          </w:p>
          <w:p>
            <w:pPr>
              <w:spacing w:after="40" w:line="264"/>
            </w:pPr>
            <w:r>
              <w:t xml:space="preserve">Why we’re interested: [one sentence — e.g., “denials on clinically justified imaging are a recurring revenue problem for us and current tools are owned by the payers denying us.”]</w:t>
            </w:r>
          </w:p>
          <w:p>
            <w:pPr>
              <w:spacing w:after="40" w:line="264"/>
            </w:pPr>
            <w:r>
              <w:t xml:space="preserve">Signed: ____________________   Date: __________</w:t>
            </w:r>
          </w:p>
        </w:tc>
      </w:tr>
    </w:tbl>
    <w:p>
      <w:pPr>
        <w:pStyle w:val="Heading2"/>
      </w:pPr>
      <w:r>
        <w:t xml:space="preserve">A3. Discovery call script (clinician)</w:t>
      </w:r>
    </w:p>
    <w:p>
      <w:pPr>
        <w:pStyle w:val="ListParagraph"/>
        <w:numPr>
          <w:ilvl w:val="0"/>
          <w:numId w:val="2"/>
        </w:numPr>
        <w:spacing w:after="70" w:line="270"/>
      </w:pPr>
      <w:r>
        <w:t xml:space="preserve">Frame (1 min): “I’m not here to sell today — I want to understand how imaging orders and denials actually work for you, and show you something for 5 minutes if it’s useful.”</w:t>
      </w:r>
    </w:p>
    <w:p>
      <w:pPr>
        <w:pStyle w:val="ListParagraph"/>
        <w:numPr>
          <w:ilvl w:val="0"/>
          <w:numId w:val="2"/>
        </w:numPr>
        <w:spacing w:after="70" w:line="270"/>
      </w:pPr>
      <w:r>
        <w:t xml:space="preserve">Pain discovery (10 min): How often do justified imaging orders get denied? Who eats it? How much staff time goes to appeals? What tools do you use today, and who makes them?</w:t>
      </w:r>
    </w:p>
    <w:p>
      <w:pPr>
        <w:pStyle w:val="ListParagraph"/>
        <w:numPr>
          <w:ilvl w:val="0"/>
          <w:numId w:val="2"/>
        </w:numPr>
        <w:spacing w:after="70" w:line="270"/>
      </w:pPr>
      <w:r>
        <w:t xml:space="preserve">Demo (5 min): one advanced-imaging order → ARKA result in &lt;800ms → SHAP “why” → denial-risk flag → clean-claim documentation. “Notice: zero extra clicks, and it’s not owned by your insurer.”</w:t>
      </w:r>
    </w:p>
    <w:p>
      <w:pPr>
        <w:pStyle w:val="ListParagraph"/>
        <w:numPr>
          <w:ilvl w:val="0"/>
          <w:numId w:val="2"/>
        </w:numPr>
        <w:spacing w:after="70" w:line="270"/>
      </w:pPr>
      <w:r>
        <w:t xml:space="preserve">Reaction (8 min): “What’s wrong with this? Would you actually use it? What would your CMIO/CFO need to see?”</w:t>
      </w:r>
    </w:p>
    <w:p>
      <w:pPr>
        <w:pStyle w:val="ListParagraph"/>
        <w:numPr>
          <w:ilvl w:val="0"/>
          <w:numId w:val="2"/>
        </w:numPr>
        <w:spacing w:after="70" w:line="270"/>
      </w:pPr>
      <w:r>
        <w:t xml:space="preserve">Ask (2 min): “Would you sign a non-binding LOI to pilot this? I’ll send it pre-filled today.” + “Who else should I talk to?”</w:t>
      </w:r>
    </w:p>
    <w:p>
      <w:pPr>
        <w:pStyle w:val="Heading2"/>
      </w:pPr>
      <w:r>
        <w:t xml:space="preserve">A4.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E7C6B" w:val="clear"/>
            <w:tcMar>
              <w:top w:type="dxa" w:w="80"/>
              <w:left w:type="dxa" w:w="120"/>
              <w:bottom w:type="dxa" w:w="80"/>
              <w:right w:type="dxa" w:w="120"/>
            </w:tcMar>
          </w:tcPr>
          <w:p>
            <w:r>
              <w:rPr>
                <w:b/>
                <w:bCs/>
                <w:color w:val="FFFFFF"/>
              </w:rPr>
              <w:t xml:space="preserve">They say</w:t>
            </w:r>
          </w:p>
        </w:tc>
        <w:tc>
          <w:tcPr>
            <w:tcW w:type="dxa" w:w="6360"/>
            <w:shd w:fill="0E7C6B" w:val="clear"/>
            <w:tcMar>
              <w:top w:type="dxa" w:w="80"/>
              <w:left w:type="dxa" w:w="120"/>
              <w:bottom w:type="dxa" w:w="80"/>
              <w:right w:type="dxa" w:w="120"/>
            </w:tcMar>
          </w:tcPr>
          <w:p>
            <w:r>
              <w:rPr>
                <w:b/>
                <w:bCs/>
                <w:color w:val="FFFFFF"/>
              </w:rPr>
              <w:t xml:space="preserve">You say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“We already use CareSelect.”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“Great — you already believe in appropriateness. ARKA is the version your insurer doesn’t own, that scores the patient instead of a 1–9 lookup, and that’s built to get you paid. Same workflow slot, better engine, no conflict.”</w:t>
            </w:r>
          </w:p>
        </w:tc>
      </w:tr>
      <w:tr>
        <w:tc>
          <w:tcPr>
            <w:tcW w:type="dxa" w:w="30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“Isn’t this just AI prior auth? Optum has that.”</w:t>
            </w:r>
          </w:p>
        </w:tc>
        <w:tc>
          <w:tcPr>
            <w:tcW w:type="dxa" w:w="63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“The difference is independence and symmetry — one engine that scores the same for you and the payer, and your data never leaves the building. Optum can’t offer that; they are the payer.”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“We don’t have budget / bandwidth.”</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“That’s why the pilot is free for 90 days and zero workflow change. You give a baseline denial number; we prove the recovered revenue. If it doesn’t pay for itself, you walk.”</w:t>
            </w:r>
          </w:p>
        </w:tc>
      </w:tr>
      <w:tr>
        <w:tc>
          <w:tcPr>
            <w:tcW w:type="dxa" w:w="300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“Is the AI a regulated device?”</w:t>
            </w:r>
          </w:p>
        </w:tc>
        <w:tc>
          <w:tcPr>
            <w:tcW w:type="dxa" w:w="6360"/>
            <w:tcBorders>
              <w:top w:val="single" w:color="CCCCCC" w:sz="1"/>
              <w:left w:val="single" w:color="CCCCCC" w:sz="1"/>
              <w:bottom w:val="single" w:color="CCCCCC" w:sz="1"/>
              <w:right w:val="single" w:color="CCCCCC" w:sz="1"/>
            </w:tcBorders>
            <w:shd w:fill="F2F6F5" w:val="clear"/>
            <w:tcMar>
              <w:top w:type="dxa" w:w="70"/>
              <w:left w:type="dxa" w:w="120"/>
              <w:bottom w:type="dxa" w:w="70"/>
              <w:right w:type="dxa" w:w="120"/>
            </w:tcMar>
          </w:tcPr>
          <w:p>
            <w:r>
              <w:t xml:space="preserve">“No — it’s Non-Device CDS under §520(o)(1)(E). Every recommendation is transparent and citation-backed so a clinician can independently review the basis. That’s by design.”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“What about our data / PHI?”</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“Federated learning — no raw PHI leaves your environment. That’s the opposite of the payer-owned data model.”</w:t>
            </w:r>
          </w:p>
        </w:tc>
      </w:tr>
    </w:tbl>
    <w:p>
      <w:pPr>
        <w:pStyle w:val="Heading2"/>
      </w:pPr>
      <w:r>
        <w:t xml:space="preserve">A5. The one-pager you hand investors (contents)</w:t>
      </w:r>
    </w:p>
    <w:p>
      <w:pPr>
        <w:pStyle w:val="ListParagraph"/>
        <w:numPr>
          <w:ilvl w:val="0"/>
          <w:numId w:val="3"/>
        </w:numPr>
        <w:spacing w:after="70" w:line="270"/>
      </w:pPr>
      <w:r>
        <w:t xml:space="preserve">Headline: the independence + symmetric-engine sentence (Section 0).</w:t>
      </w:r>
    </w:p>
    <w:p>
      <w:pPr>
        <w:pStyle w:val="ListParagraph"/>
        <w:numPr>
          <w:ilvl w:val="0"/>
          <w:numId w:val="3"/>
        </w:numPr>
        <w:spacing w:after="70" w:line="270"/>
      </w:pPr>
      <w:r>
        <w:t xml:space="preserve">Demand evidence: # LOIs, # Tier-A, advisor logos/quotes.</w:t>
      </w:r>
    </w:p>
    <w:p>
      <w:pPr>
        <w:pStyle w:val="ListParagraph"/>
        <w:numPr>
          <w:ilvl w:val="0"/>
          <w:numId w:val="3"/>
        </w:numPr>
        <w:spacing w:after="70" w:line="270"/>
      </w:pPr>
      <w:r>
        <w:t xml:space="preserve">The wedge → platform staircase (Section 2 table).</w:t>
      </w:r>
    </w:p>
    <w:p>
      <w:pPr>
        <w:pStyle w:val="ListParagraph"/>
        <w:numPr>
          <w:ilvl w:val="0"/>
          <w:numId w:val="3"/>
        </w:numPr>
        <w:spacing w:after="70" w:line="270"/>
      </w:pPr>
      <w:r>
        <w:t xml:space="preserve">The one number: recovered imaging revenue / system / year (modeled now, measured soon).</w:t>
      </w:r>
    </w:p>
    <w:p>
      <w:pPr>
        <w:pStyle w:val="ListParagraph"/>
        <w:numPr>
          <w:ilvl w:val="0"/>
          <w:numId w:val="3"/>
        </w:numPr>
        <w:spacing w:after="70" w:line="270"/>
      </w:pPr>
      <w:r>
        <w:t xml:space="preserve">The moat: why Optum structurally can’t follow.</w:t>
      </w:r>
    </w:p>
    <w:p>
      <w:r>
        <w:br w:type="page"/>
      </w:r>
    </w:p>
    <w:p>
      <w:pPr>
        <w:pStyle w:val="Heading1"/>
      </w:pPr>
      <w:r>
        <w:t xml:space="preserve">Appendix B — Sources</w:t>
      </w:r>
    </w:p>
    <w:p>
      <w:pPr>
        <w:spacing w:after="80"/>
      </w:pPr>
      <w:r>
        <w:t xml:space="preserve">•  </w:t>
      </w:r>
      <w:hyperlink w:history="1" r:id="rIdhlvpg8zyyh9s4alwfd3_t">
        <w:r>
          <w:rPr>
            <w:rStyle w:val="Hyperlink"/>
          </w:rPr>
          <w:t xml:space="preserve">Optum — AI-powered digital prior authorization</w:t>
        </w:r>
      </w:hyperlink>
    </w:p>
    <w:p>
      <w:pPr>
        <w:spacing w:after="80"/>
      </w:pPr>
      <w:r>
        <w:t xml:space="preserve">•  </w:t>
      </w:r>
      <w:hyperlink w:history="1" r:id="rIdi2fyol4whvjzw_f0c_w59">
        <w:r>
          <w:rPr>
            <w:rStyle w:val="Hyperlink"/>
          </w:rPr>
          <w:t xml:space="preserve">Optum rolls out AI prior auth tools (Becker’s)</w:t>
        </w:r>
      </w:hyperlink>
    </w:p>
    <w:p>
      <w:pPr>
        <w:spacing w:after="80"/>
      </w:pPr>
      <w:r>
        <w:t xml:space="preserve">•  </w:t>
      </w:r>
      <w:hyperlink w:history="1" r:id="rId0jcpbgk7jdv3wxlpcoyii">
        <w:r>
          <w:rPr>
            <w:rStyle w:val="Hyperlink"/>
          </w:rPr>
          <w:t xml:space="preserve">CareSelect Imaging (Optum Business)</w:t>
        </w:r>
      </w:hyperlink>
    </w:p>
    <w:p>
      <w:pPr>
        <w:spacing w:after="80"/>
      </w:pPr>
      <w:r>
        <w:t xml:space="preserve">•  </w:t>
      </w:r>
      <w:hyperlink w:history="1" r:id="rId_oqxqemx8pfovojpivl72">
        <w:r>
          <w:rPr>
            <w:rStyle w:val="Hyperlink"/>
          </w:rPr>
          <w:t xml:space="preserve">CareSelect / ACR Select origin (National Decision Support Company)</w:t>
        </w:r>
      </w:hyperlink>
    </w:p>
    <w:p>
      <w:pPr>
        <w:spacing w:after="80"/>
      </w:pPr>
      <w:r>
        <w:t xml:space="preserve">•  </w:t>
      </w:r>
      <w:hyperlink w:history="1" r:id="rIdk9yipf73odqa_axqovngj">
        <w:r>
          <w:rPr>
            <w:rStyle w:val="Hyperlink"/>
          </w:rPr>
          <w:t xml:space="preserve">UnitedHealth pays its Optum providers above-market rates (STAT)</w:t>
        </w:r>
      </w:hyperlink>
    </w:p>
    <w:p>
      <w:pPr>
        <w:spacing w:after="80"/>
      </w:pPr>
      <w:r>
        <w:t xml:space="preserve">•  </w:t>
      </w:r>
      <w:hyperlink w:history="1" r:id="rIddowolwbfsh7ie1hqhqbzh">
        <w:r>
          <w:rPr>
            <w:rStyle w:val="Hyperlink"/>
          </w:rPr>
          <w:t xml:space="preserve">Digital health funding hit $4B in Q1 2026 (Fierce Healthcare / Rock Health)</w:t>
        </w:r>
      </w:hyperlink>
    </w:p>
    <w:p>
      <w:pPr>
        <w:spacing w:after="80"/>
      </w:pPr>
      <w:r>
        <w:t xml:space="preserve">•  </w:t>
      </w:r>
      <w:hyperlink w:history="1" r:id="rIdt0yjyzspdtarw8smd_ire">
        <w:r>
          <w:rPr>
            <w:rStyle w:val="Hyperlink"/>
          </w:rPr>
          <w:t xml:space="preserve">Healthcare AI startup go-to-market strategy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2"/>
        <w:sz w:val="16"/>
        <w:szCs w:val="16"/>
      </w:rPr>
      <w:t xml:space="preserve">Page </w:t>
    </w:r>
    <w:r>
      <w:rPr>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2"/>
        <w:sz w:val="16"/>
        <w:szCs w:val="16"/>
      </w:rPr>
      <w:t xml:space="preserve">ARKA Health — GTM Action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6B" w:sz="6" w:space="4"/>
      </w:pBdr>
      <w:spacing w:after="160" w:before="260"/>
      <w:outlineLvl w:val="0"/>
    </w:pPr>
    <w:rPr>
      <w:rFonts w:ascii="Arial" w:cs="Arial" w:eastAsia="Arial" w:hAnsi="Arial"/>
      <w:b/>
      <w:bCs/>
      <w:color w:val="0B5E51"/>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1F2A37"/>
      <w:sz w:val="25"/>
      <w:szCs w:val="25"/>
    </w:rPr>
  </w:style>
  <w:style w:type="paragraph" w:styleId="Heading3">
    <w:name w:val="Heading 3"/>
    <w:basedOn w:val="Normal"/>
    <w:next w:val="Normal"/>
    <w:qFormat/>
    <w:pPr>
      <w:spacing w:after="80" w:before="150"/>
      <w:outlineLvl w:val="2"/>
    </w:pPr>
    <w:rPr>
      <w:rFonts w:ascii="Arial" w:cs="Arial" w:eastAsia="Arial" w:hAnsi="Arial"/>
      <w:b/>
      <w:bCs/>
      <w:color w:val="0B5E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lvpg8zyyh9s4alwfd3_t" Type="http://schemas.openxmlformats.org/officeDocument/2006/relationships/hyperlink" Target="https://www.optum.com/en/newsroom/health-tech/optum-is-advancing-ai-powered-digital-prior-authorization.html" TargetMode="External"/><Relationship Id="rIdi2fyol4whvjzw_f0c_w59" Type="http://schemas.openxmlformats.org/officeDocument/2006/relationships/hyperlink" Target="https://www.beckershospitalreview.com/healthcare-information-technology/optum-rolls-out-ai-powered-prior-authorization-tools-for-payers-providers/" TargetMode="External"/><Relationship Id="rId0jcpbgk7jdv3wxlpcoyii" Type="http://schemas.openxmlformats.org/officeDocument/2006/relationships/hyperlink" Target="https://business.optum.com/en/operations-technology/clinical-decision-support/careselect/imaging.html" TargetMode="External"/><Relationship Id="rId_oqxqemx8pfovojpivl72" Type="http://schemas.openxmlformats.org/officeDocument/2006/relationships/hyperlink" Target="https://nationaldecisionsupport.com/tag/acr/" TargetMode="External"/><Relationship Id="rIdk9yipf73odqa_axqovngj" Type="http://schemas.openxmlformats.org/officeDocument/2006/relationships/hyperlink" Target="https://www.statnews.com/2024/11/25/unitedhealth-higher-payments-optum-providers-converts-expenses-to-profits/" TargetMode="External"/><Relationship Id="rIddowolwbfsh7ie1hqhqbzh" Type="http://schemas.openxmlformats.org/officeDocument/2006/relationships/hyperlink" Target="https://www.fiercehealthcare.com/digital-health/digital-health-startups-raked-4b-q1-12-megadeals-driving-investment-rock-health" TargetMode="External"/><Relationship Id="rIdt0yjyzspdtarw8smd_ire" Type="http://schemas.openxmlformats.org/officeDocument/2006/relationships/hyperlink" Target="https://engineerbabu.com/blog/healthcare-ai-startup-go-to-market-strategy/"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ARKA Health — Go-To-Market Action Plan</dc:title>
  <dc:creator>ARKA</dc:creator>
  <cp:lastModifiedBy>Un-named</cp:lastModifiedBy>
  <cp:revision>1</cp:revision>
  <dcterms:created xsi:type="dcterms:W3CDTF">2026-06-13T22:16:22.863Z</dcterms:created>
  <dcterms:modified xsi:type="dcterms:W3CDTF">2026-06-13T22:16:22.863Z</dcterms:modified>
</cp:coreProperties>
</file>

<file path=docProps/custom.xml><?xml version="1.0" encoding="utf-8"?>
<Properties xmlns="http://schemas.openxmlformats.org/officeDocument/2006/custom-properties" xmlns:vt="http://schemas.openxmlformats.org/officeDocument/2006/docPropsVTypes"/>
</file>