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56"/>
          <w:szCs w:val="56"/>
        </w:rPr>
        <w:t xml:space="preserve">ARKA HEALTH</w:t>
      </w:r>
    </w:p>
    <w:p>
      <w:pPr>
        <w:pBdr>
          <w:bottom w:val="single" w:color="2E75B6" w:sz="12" w:space="8"/>
        </w:pBdr>
        <w:spacing w:after="600"/>
        <w:jc w:val="center"/>
      </w:pPr>
      <w:r>
        <w:rPr>
          <w:color w:val="2E75B6"/>
          <w:sz w:val="30"/>
          <w:szCs w:val="30"/>
        </w:rPr>
        <w:t xml:space="preserve">Investor-Readiness Checklist</w:t>
      </w:r>
    </w:p>
    <w:p>
      <w:pPr>
        <w:spacing w:after="200"/>
        <w:jc w:val="center"/>
      </w:pPr>
      <w:r>
        <w:rPr>
          <w:b/>
          <w:bCs/>
          <w:color w:val="333333"/>
          <w:sz w:val="36"/>
          <w:szCs w:val="36"/>
        </w:rPr>
        <w:t xml:space="preserve">A Beginner's Step-by-Step Guide</w:t>
      </w:r>
    </w:p>
    <w:p>
      <w:pPr>
        <w:spacing w:after="120"/>
        <w:jc w:val="center"/>
      </w:pPr>
      <w:r>
        <w:rPr>
          <w:color w:val="666666"/>
          <w:sz w:val="22"/>
          <w:szCs w:val="22"/>
        </w:rPr>
        <w:t xml:space="preserve">Supabase  ·  GitHub Security  ·  The Loom Demo Video  ·  FDA Pre-Submission</w:t>
      </w:r>
    </w:p>
    <w:p>
      <w:pPr>
        <w:spacing w:before="1400"/>
        <w:jc w:val="center"/>
      </w:pPr>
      <w:r>
        <w:rPr>
          <w:sz w:val="22"/>
          <w:szCs w:val="22"/>
        </w:rPr>
        <w:t xml:space="preserve">Prepared for: Arri Kanna</w:t>
      </w:r>
    </w:p>
    <w:p>
      <w:pPr>
        <w:jc w:val="center"/>
      </w:pPr>
      <w:r>
        <w:rPr>
          <w:color w:val="666666"/>
          <w:sz w:val="22"/>
          <w:szCs w:val="22"/>
        </w:rPr>
        <w:t xml:space="preserve">Date: June 3, 2026</w:t>
      </w:r>
    </w:p>
    <w:p>
      <w:pPr>
        <w:jc w:val="center"/>
      </w:pPr>
      <w:r>
        <w:rPr>
          <w:color w:val="666666"/>
          <w:sz w:val="20"/>
          <w:szCs w:val="20"/>
        </w:rPr>
        <w:t xml:space="preserve">Repository: github.com/ArKa3003/arkahealth</w:t>
      </w:r>
    </w:p>
    <w:p>
      <w:r>
        <w:br w:type="page"/>
      </w:r>
    </w:p>
    <w:p>
      <w:pPr>
        <w:pStyle w:val="Heading1"/>
      </w:pPr>
      <w:r>
        <w:t xml:space="preserve">How to use this guide</w:t>
      </w:r>
    </w:p>
    <w:p>
      <w:pPr>
        <w:spacing w:after="120" w:line="276"/>
      </w:pPr>
      <w:r>
        <w:rPr>
          <w:b/>
          <w:bCs/>
        </w:rPr>
        <w:t xml:space="preserve">Read this first. </w:t>
      </w:r>
      <w:r>
        <w:t xml:space="preserve">This document walks you through four tasks, in plain language, assuming you are doing each one for the first time. Every task has the same shape: (1) a short “what this is and why it matters” explanation, (2) numbered steps you can follow exactly, and (3) a way to check you did it right.</w:t>
      </w:r>
    </w:p>
    <w:p>
      <w:pPr>
        <w:spacing w:after="120" w:line="276"/>
      </w:pPr>
      <w:r>
        <w:rPr>
          <w:b/>
          <w:bCs/>
        </w:rPr>
        <w:t xml:space="preserve">Conventions: </w:t>
      </w:r>
      <w:r>
        <w:t xml:space="preserve">Text in a dark box is something you type into a terminal or paste somewhere — type it exactly. Blue boxes are notes, amber boxes are warnings, red boxes are “do this before anything else,” and green boxes are the bottom-line takeaway for that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18"/>
              <w:bottom w:val="single" w:color="E0A030" w:sz="4"/>
              <w:right w:val="single" w:color="E0A030" w:sz="4"/>
            </w:tcBorders>
            <w:shd w:fill="FFF4E0" w:val="clear"/>
            <w:tcMar>
              <w:top w:type="dxa" w:w="120"/>
              <w:left w:type="dxa" w:w="160"/>
              <w:bottom w:type="dxa" w:w="120"/>
              <w:right w:type="dxa" w:w="160"/>
            </w:tcMar>
          </w:tcPr>
          <w:p>
            <w:pPr>
              <w:spacing w:after="60"/>
            </w:pPr>
            <w:r>
              <w:rPr>
                <w:b/>
                <w:bCs/>
                <w:color w:val="E0A030"/>
                <w:sz w:val="21"/>
                <w:szCs w:val="21"/>
              </w:rPr>
              <w:t xml:space="preserve">IMPORTANT</w:t>
            </w:r>
          </w:p>
          <w:p>
            <w:pPr>
              <w:spacing w:after="40" w:line="264"/>
            </w:pPr>
            <w:r>
              <w:rPr>
                <w:sz w:val="21"/>
                <w:szCs w:val="21"/>
              </w:rPr>
              <w:t xml:space="preserve">Two of these tasks (GitHub security and the FDA submission) have real-world consequences if rushed. Where that is true, the guide says so and tells you what to slow down on. Nothing here is legal or regulatory advice — for the FDA step in particular, the guide recommends having a qualified person review your package before you send it.</w:t>
            </w:r>
          </w:p>
        </w:tc>
      </w:tr>
    </w:tbl>
    <w:p>
      <w:pPr>
        <w:spacing w:after="80"/>
      </w:pPr>
      <w:r>
        <w:t xml:space="preserve"> </w:t>
      </w:r>
    </w:p>
    <w:p>
      <w:pPr>
        <w:spacing w:after="120" w:line="276"/>
      </w:pPr>
      <w:r>
        <w:rPr>
          <w:b/>
          <w:bCs/>
        </w:rPr>
        <w:t xml:space="preserve">Suggested order and rough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3700"/>
        <w:gridCol w:w="1700"/>
      </w:tblGrid>
      <w:tr>
        <w:trPr>
          <w:tblHeader/>
        </w:trPr>
        <w:tc>
          <w:tcPr>
            <w:tcW w:type="dxa" w:w="6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t>
            </w:r>
          </w:p>
        </w:tc>
        <w:tc>
          <w:tcPr>
            <w:tcW w:type="dxa" w:w="3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Task</w:t>
            </w:r>
          </w:p>
        </w:tc>
        <w:tc>
          <w:tcPr>
            <w:tcW w:type="dxa" w:w="3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How urgent before investors</w:t>
            </w:r>
          </w:p>
        </w:tc>
        <w:tc>
          <w:tcPr>
            <w:tcW w:type="dxa" w:w="1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Rough time</w:t>
            </w:r>
          </w:p>
        </w:tc>
      </w:tr>
      <w:tr>
        <w:tc>
          <w:tcPr>
            <w:tcW w:type="dxa" w:w="6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1</w:t>
            </w:r>
          </w:p>
        </w:tc>
        <w:tc>
          <w:tcPr>
            <w:tcW w:type="dxa" w:w="33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Check Supabase</w:t>
            </w:r>
          </w:p>
        </w:tc>
        <w:tc>
          <w:tcPr>
            <w:tcW w:type="dxa" w:w="3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Medium — affects what your live demo can show</w:t>
            </w:r>
          </w:p>
        </w:tc>
        <w:tc>
          <w:tcPr>
            <w:tcW w:type="dxa" w:w="1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30–90 min</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2</w:t>
            </w:r>
          </w:p>
        </w:tc>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Lock down GitHub</w:t>
            </w:r>
          </w:p>
        </w:tc>
        <w:tc>
          <w:tcPr>
            <w:tcW w:type="dxa" w:w="3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HIGH — do this before you email anyone</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1–2 hours</w:t>
            </w:r>
          </w:p>
        </w:tc>
      </w:tr>
      <w:tr>
        <w:tc>
          <w:tcPr>
            <w:tcW w:type="dxa" w:w="6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3</w:t>
            </w:r>
          </w:p>
        </w:tc>
        <w:tc>
          <w:tcPr>
            <w:tcW w:type="dxa" w:w="33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Record the Loom demo video</w:t>
            </w:r>
          </w:p>
        </w:tc>
        <w:tc>
          <w:tcPr>
            <w:tcW w:type="dxa" w:w="3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Medium–High — a strong proof point</w:t>
            </w:r>
          </w:p>
        </w:tc>
        <w:tc>
          <w:tcPr>
            <w:tcW w:type="dxa" w:w="1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2–4 hours</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4</w:t>
            </w:r>
          </w:p>
        </w:tc>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File the free FDA Pre-Submission</w:t>
            </w:r>
          </w:p>
        </w:tc>
        <w:tc>
          <w:tcPr>
            <w:tcW w:type="dxa" w:w="3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Low urgency, long timeline (~2–3 months)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Multi-day prep</w:t>
            </w:r>
          </w:p>
        </w:tc>
      </w:tr>
    </w:tbl>
    <w:p>
      <w:pPr>
        <w:spacing w:after="80"/>
      </w:pPr>
      <w:r>
        <w:t xml:space="preserve"> </w:t>
      </w:r>
    </w:p>
    <w:p>
      <w:pPr>
        <w:spacing w:after="120" w:line="276"/>
      </w:pPr>
      <w:r>
        <w:rPr>
          <w:b/>
          <w:bCs/>
        </w:rPr>
        <w:t xml:space="preserve">If you only have one afternoon before reaching out to investors: </w:t>
      </w:r>
      <w:r>
        <w:t xml:space="preserve">do Task 2 (GitHub) completely, then Task 1 (decide your Supabase/demo-mode plan). Tasks 3 and 4 can follow.</w:t>
      </w:r>
    </w:p>
    <w:p>
      <w:pPr>
        <w:pBdr>
          <w:bottom w:val="single" w:color="DDDDDD" w:sz="6" w:space="1"/>
        </w:pBdr>
        <w:spacing w:after="120" w:before="120"/>
      </w:pPr>
      <w:r>
        <w:t xml:space="preserve"> </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Task 1 — Check Supabase: does ARKA need it before investors?</w:t>
      </w:r>
    </w:p>
    <w:p>
      <w:pPr>
        <w:pStyle w:val="Heading2"/>
      </w:pPr>
      <w:r>
        <w:t xml:space="preserve">The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8"/>
              <w:bottom w:val="single" w:color="4CAF50" w:sz="4"/>
              <w:right w:val="single" w:color="4CAF50" w:sz="4"/>
            </w:tcBorders>
            <w:shd w:fill="E8F5E9" w:val="clear"/>
            <w:tcMar>
              <w:top w:type="dxa" w:w="120"/>
              <w:left w:type="dxa" w:w="160"/>
              <w:bottom w:type="dxa" w:w="120"/>
              <w:right w:type="dxa" w:w="160"/>
            </w:tcMar>
          </w:tcPr>
          <w:p>
            <w:pPr>
              <w:spacing w:after="60"/>
            </w:pPr>
            <w:r>
              <w:rPr>
                <w:b/>
                <w:bCs/>
                <w:color w:val="4CAF50"/>
                <w:sz w:val="21"/>
                <w:szCs w:val="21"/>
              </w:rPr>
              <w:t xml:space="preserve">BOTTOM LINE</w:t>
            </w:r>
          </w:p>
          <w:p>
            <w:pPr>
              <w:spacing w:after="40" w:line="264"/>
            </w:pPr>
            <w:r>
              <w:rPr>
                <w:sz w:val="21"/>
                <w:szCs w:val="21"/>
              </w:rPr>
              <w:t xml:space="preserve">Supabase IS wired into ARKA's code, but it is NOT currently connected — the three Supabase keys in your .env.local file are blank. Right now ARKA runs without it.</w:t>
            </w:r>
          </w:p>
          <w:p>
            <w:pPr>
              <w:spacing w:after="40" w:line="264"/>
            </w:pPr>
            <w:r>
              <w:rPr>
                <w:sz w:val="21"/>
                <w:szCs w:val="21"/>
              </w:rPr>
              <w:t xml:space="preserve">Your investor demo does NOT strictly need Supabase IF you (a) demo the ARKA-CLIN side and (b) run ARKA-INS in “Demo Mode” with mock data. But if you want to show the ARKA-INS live revenue features (the reviewer queue, prior-auth history, the ROI counters) pulling real saved data, you DO need to connect and seed Supabase. That ROI moment is a big part of your pitch (Beat 6 of your demo script), so it is worth doing.</w:t>
            </w:r>
          </w:p>
        </w:tc>
      </w:tr>
    </w:tbl>
    <w:p>
      <w:pPr>
        <w:pStyle w:val="Heading2"/>
      </w:pPr>
      <w:r>
        <w:t xml:space="preserve">What Supabase actually is (plain language)</w:t>
      </w:r>
    </w:p>
    <w:p>
      <w:pPr>
        <w:spacing w:after="120" w:line="276"/>
      </w:pPr>
      <w:r>
        <w:t xml:space="preserve">Supabase is the </w:t>
      </w:r>
      <w:r>
        <w:rPr>
          <w:b/>
          <w:bCs/>
        </w:rPr>
        <w:t xml:space="preserve">database and backend</w:t>
      </w:r>
      <w:r>
        <w:t xml:space="preserve"> for ARKA. Think of it as the filing cabinet where the insurance side of ARKA (ARKA-INS) stores things: prior-authorization history, reviewer decisions, out-of-pocket cost estimates, “gold card” scores, and the numbers behind the ROI counters. The clinical imaging side (ARKA-CLIN) mostly does its work in the moment using rules plus the machine-learning service, so it leans on Supabase far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20"/>
              <w:left w:type="dxa" w:w="160"/>
              <w:bottom w:type="dxa" w:w="120"/>
              <w:right w:type="dxa" w:w="160"/>
            </w:tcMar>
          </w:tcPr>
          <w:p>
            <w:pPr>
              <w:spacing w:after="60"/>
            </w:pPr>
            <w:r>
              <w:rPr>
                <w:b/>
                <w:bCs/>
                <w:color w:val="2E75B6"/>
                <w:sz w:val="21"/>
                <w:szCs w:val="21"/>
              </w:rPr>
              <w:t xml:space="preserve">NOTE</w:t>
            </w:r>
          </w:p>
          <w:p>
            <w:pPr>
              <w:spacing w:after="40" w:line="264"/>
            </w:pPr>
            <w:r>
              <w:rPr>
                <w:sz w:val="21"/>
                <w:szCs w:val="21"/>
              </w:rPr>
              <w:t xml:space="preserve">“Migrations” are the instructions that build the tables inside that filing cabinet. Your project already has 35 of them in the supabase/migrations/ folder (files like 002_ins_pa_history.sql). They are written; they just haven't been “run” against a live database yet because no database is connected.</w:t>
            </w:r>
          </w:p>
        </w:tc>
      </w:tr>
    </w:tbl>
    <w:p>
      <w:pPr>
        <w:pStyle w:val="Heading2"/>
      </w:pPr>
      <w:r>
        <w:t xml:space="preserve">What I found in your project (so you don't have to dig)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What I checked</w:t>
            </w:r>
          </w:p>
        </w:tc>
        <w:tc>
          <w:tcPr>
            <w:tcW w:type="dxa" w:w="28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What I found</w:t>
            </w:r>
          </w:p>
        </w:tc>
        <w:tc>
          <w:tcPr>
            <w:tcW w:type="dxa" w:w="35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Meaning</w:t>
            </w:r>
          </w:p>
        </w:tc>
      </w:tr>
      <w:tr>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The 3 Supabase keys in .env.local</w:t>
            </w:r>
          </w:p>
        </w:tc>
        <w:tc>
          <w:tcPr>
            <w:tcW w:type="dxa" w:w="28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All three are EMPTY</w:t>
            </w:r>
          </w:p>
        </w:tc>
        <w:tc>
          <w:tcPr>
            <w:tcW w:type="dxa" w:w="35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No database is connected right now</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supabase/migrations/ folder</w:t>
            </w:r>
          </w:p>
        </w:tc>
        <w:tc>
          <w:tcPr>
            <w:tcW w:type="dxa" w:w="2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35 migration files present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The database design is fully built, ready to deploy</w:t>
            </w:r>
          </w:p>
        </w:tc>
      </w:tr>
      <w:tr>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Code that talks to Supabase</w:t>
            </w:r>
          </w:p>
        </w:tc>
        <w:tc>
          <w:tcPr>
            <w:tcW w:type="dxa" w:w="28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16 ARKA-INS API routes + client files</w:t>
            </w:r>
          </w:p>
        </w:tc>
        <w:tc>
          <w:tcPr>
            <w:tcW w:type="dxa" w:w="35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INS features expect a database to exist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DEMO_MODE setting</w:t>
            </w:r>
          </w:p>
        </w:tc>
        <w:tc>
          <w:tcPr>
            <w:tcW w:type="dxa" w:w="2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Present and supported</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You can demo with mock data, no DB needed</w:t>
            </w:r>
          </w:p>
        </w:tc>
      </w:tr>
    </w:tbl>
    <w:p>
      <w:pPr>
        <w:spacing w:after="120" w:line="276"/>
      </w:pPr>
      <w:r>
        <w:t xml:space="preserve">The clue is in your own notes: the file </w:t>
      </w:r>
      <w:r>
        <w:rPr>
          <w:rFonts w:ascii="Consolas" w:cs="Consolas" w:eastAsia="Consolas" w:hAnsi="Consolas"/>
          <w:sz w:val="19"/>
          <w:szCs w:val="19"/>
        </w:rPr>
        <w:t xml:space="preserve">docs/CDS_SANDBOX_REGISTRATION.md</w:t>
      </w:r>
      <w:r>
        <w:t xml:space="preserve"> says “INS routes return fallback messages pending Supabase fixture seeding.” That is exactly the behavior of a project whose database isn't connected yet — INS pages show a polite placeholder instead of live data.</w:t>
      </w:r>
    </w:p>
    <w:p>
      <w:pPr>
        <w:pStyle w:val="Heading2"/>
      </w:pPr>
      <w:r>
        <w:t xml:space="preserve">Step-by-step: check the current Supabase status yourself</w:t>
      </w:r>
    </w:p>
    <w:p>
      <w:pPr>
        <w:spacing w:after="120" w:line="276"/>
      </w:pPr>
      <w:r>
        <w:t xml:space="preserve">Do these in order. Open a terminal, then:</w:t>
      </w:r>
    </w:p>
    <w:p>
      <w:pPr>
        <w:pStyle w:val="ListParagraph"/>
        <w:numPr>
          <w:ilvl w:val="0"/>
          <w:numId w:val="2"/>
        </w:numPr>
        <w:spacing w:after="80" w:line="264"/>
      </w:pPr>
      <w:r>
        <w:t xml:space="preserve">Go into your project folder:</w:t>
      </w:r>
    </w:p>
    <w:p>
      <w:pPr>
        <w:pBdr>
          <w:left w:val="single" w:color="2E75B6" w:sz="18" w:space="4"/>
        </w:pBdr>
        <w:shd w:fill="1E1E1E" w:val="clear"/>
        <w:spacing w:after="120" w:before="80" w:line="264"/>
      </w:pPr>
      <w:r>
        <w:rPr>
          <w:rFonts w:ascii="Consolas" w:cs="Consolas" w:eastAsia="Consolas" w:hAnsi="Consolas"/>
          <w:color w:val="D4D4D4"/>
          <w:sz w:val="18"/>
          <w:szCs w:val="18"/>
        </w:rPr>
        <w:t xml:space="preserve">cd ~/Desktop/arkahealth</w:t>
      </w:r>
    </w:p>
    <w:p>
      <w:pPr>
        <w:pStyle w:val="ListParagraph"/>
        <w:numPr>
          <w:ilvl w:val="0"/>
          <w:numId w:val="2"/>
        </w:numPr>
        <w:spacing w:after="80" w:line="264"/>
      </w:pPr>
      <w:r>
        <w:t xml:space="preserve">Look at which Supabase keys are filled in. This prints the variable names but hides the secret values:</w:t>
      </w:r>
    </w:p>
    <w:p>
      <w:pPr>
        <w:pBdr>
          <w:left w:val="single" w:color="2E75B6" w:sz="18" w:space="4"/>
        </w:pBdr>
        <w:shd w:fill="1E1E1E" w:val="clear"/>
        <w:spacing w:after="120" w:before="80" w:line="264"/>
      </w:pPr>
      <w:r>
        <w:rPr>
          <w:rFonts w:ascii="Consolas" w:cs="Consolas" w:eastAsia="Consolas" w:hAnsi="Consolas"/>
          <w:color w:val="D4D4D4"/>
          <w:sz w:val="18"/>
          <w:szCs w:val="18"/>
        </w:rPr>
        <w:t xml:space="preserve">grep -E "SUPABASE" .env.local | sed 's/=.*/= (value hidden)/'</w:t>
      </w:r>
    </w:p>
    <w:p>
      <w:pPr>
        <w:spacing w:after="120" w:line="276"/>
      </w:pPr>
      <w:r>
        <w:t xml:space="preserve">If you see the three </w:t>
      </w:r>
      <w:r>
        <w:rPr>
          <w:rFonts w:ascii="Consolas" w:cs="Consolas" w:eastAsia="Consolas" w:hAnsi="Consolas"/>
          <w:sz w:val="19"/>
          <w:szCs w:val="19"/>
        </w:rPr>
        <w:t xml:space="preserve">SUPABASE</w:t>
      </w:r>
      <w:r>
        <w:t xml:space="preserve"> lines with nothing after the “=”, the database is not connected (this is your current state).</w:t>
      </w:r>
    </w:p>
    <w:p>
      <w:pPr>
        <w:pStyle w:val="ListParagraph"/>
        <w:numPr>
          <w:ilvl w:val="0"/>
          <w:numId w:val="2"/>
        </w:numPr>
        <w:spacing w:after="80" w:line="264"/>
      </w:pPr>
      <w:r>
        <w:t xml:space="preserve">Start the app and look at an INS page:</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npm run dev</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 then open http://localhost:3000/ins in your browser</w:t>
      </w:r>
    </w:p>
    <w:p>
      <w:pPr>
        <w:pStyle w:val="ListParagraph"/>
        <w:numPr>
          <w:ilvl w:val="0"/>
          <w:numId w:val="2"/>
        </w:numPr>
        <w:spacing w:after="80" w:line="264"/>
      </w:pPr>
      <w:r>
        <w:t xml:space="preserve">If the INS pages show fallback / placeholder messages instead of a populated reviewer queue, that confirms Supabase isn't seeded yet.</w:t>
      </w:r>
    </w:p>
    <w:p>
      <w:pPr>
        <w:pStyle w:val="Heading2"/>
      </w:pPr>
      <w:r>
        <w:t xml:space="preserve">The decision: do you connect it before investors?</w:t>
      </w:r>
    </w:p>
    <w:p>
      <w:pPr>
        <w:spacing w:after="120" w:line="276"/>
      </w:pPr>
      <w:r>
        <w:t xml:space="preserve">Use this simple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tblHeader/>
        </w:trPr>
        <w:tc>
          <w:tcPr>
            <w:tcW w:type="dxa" w:w="3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Your demo plan</w:t>
            </w:r>
          </w:p>
        </w:tc>
        <w:tc>
          <w:tcPr>
            <w:tcW w:type="dxa" w:w="1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Do you need Supabase?</w:t>
            </w:r>
          </w:p>
        </w:tc>
        <w:tc>
          <w:tcPr>
            <w:tcW w:type="dxa" w:w="37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What to do</w:t>
            </w:r>
          </w:p>
        </w:tc>
      </w:tr>
      <w:tr>
        <w:tc>
          <w:tcPr>
            <w:tcW w:type="dxa" w:w="3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Show CLIN only (imaging appropriateness + CDS Hooks card)</w:t>
            </w:r>
          </w:p>
        </w:tc>
        <w:tc>
          <w:tcPr>
            <w:tcW w:type="dxa" w:w="19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No</w:t>
            </w:r>
          </w:p>
        </w:tc>
        <w:tc>
          <w:tcPr>
            <w:tcW w:type="dxa" w:w="37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Leave it. CLIN works on rules + ML.</w:t>
            </w:r>
          </w:p>
        </w:tc>
      </w:tr>
      <w:tr>
        <w:tc>
          <w:tcPr>
            <w:tcW w:type="dxa" w:w="3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Show INS but in Demo Mode (mock data, “Demo” watermark)</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No</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Set DEMO_MODE=true. Good enough for many pitches.</w:t>
            </w:r>
          </w:p>
        </w:tc>
      </w:tr>
      <w:tr>
        <w:tc>
          <w:tcPr>
            <w:tcW w:type="dxa" w:w="3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Show INS with LIVE saved data + real ROI counters</w:t>
            </w:r>
          </w:p>
        </w:tc>
        <w:tc>
          <w:tcPr>
            <w:tcW w:type="dxa" w:w="19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Yes</w:t>
            </w:r>
          </w:p>
        </w:tc>
        <w:tc>
          <w:tcPr>
            <w:tcW w:type="dxa" w:w="37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Connect + seed Supabase (steps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18"/>
              <w:bottom w:val="single" w:color="E0A030" w:sz="4"/>
              <w:right w:val="single" w:color="E0A030" w:sz="4"/>
            </w:tcBorders>
            <w:shd w:fill="FFF4E0" w:val="clear"/>
            <w:tcMar>
              <w:top w:type="dxa" w:w="120"/>
              <w:left w:type="dxa" w:w="160"/>
              <w:bottom w:type="dxa" w:w="120"/>
              <w:right w:type="dxa" w:w="160"/>
            </w:tcMar>
          </w:tcPr>
          <w:p>
            <w:pPr>
              <w:spacing w:after="60"/>
            </w:pPr>
            <w:r>
              <w:rPr>
                <w:b/>
                <w:bCs/>
                <w:color w:val="E0A030"/>
                <w:sz w:val="21"/>
                <w:szCs w:val="21"/>
              </w:rPr>
              <w:t xml:space="preserve">IMPORTANT</w:t>
            </w:r>
          </w:p>
          <w:p>
            <w:pPr>
              <w:spacing w:after="40" w:line="264"/>
            </w:pPr>
            <w:r>
              <w:rPr>
                <w:sz w:val="21"/>
                <w:szCs w:val="21"/>
              </w:rPr>
              <w:t xml:space="preserve">Recommendation: for a seed/Series-A investor demo, connecting Supabase and seeding the demo data is worth the ~1 hour. The ARKA-INS ROI story (the “~$3.5M recovered” moment) is far more convincing when the dashboard shows it pulling from a real database rather than a mock. If you are time-crunched, Demo Mode is an acceptable fallback — just be ready to say “this is running on seeded demo data.”</w:t>
            </w:r>
          </w:p>
        </w:tc>
      </w:tr>
    </w:tbl>
    <w:p>
      <w:pPr>
        <w:pStyle w:val="Heading2"/>
      </w:pPr>
      <w:r>
        <w:t xml:space="preserve">Step-by-step: connect and seed Supabase (only if you chose “LIVE”)</w:t>
      </w:r>
    </w:p>
    <w:p>
      <w:pPr>
        <w:spacing w:after="120" w:line="276"/>
      </w:pPr>
      <w:r>
        <w:rPr>
          <w:b/>
          <w:bCs/>
        </w:rPr>
        <w:t xml:space="preserve">You will need: </w:t>
      </w:r>
      <w:r>
        <w:t xml:space="preserve">a free Supabase account. This takes about an hour the first time.</w:t>
      </w:r>
    </w:p>
    <w:p>
      <w:pPr>
        <w:pStyle w:val="ListParagraph"/>
        <w:numPr>
          <w:ilvl w:val="0"/>
          <w:numId w:val="3"/>
        </w:numPr>
        <w:spacing w:after="80" w:line="264"/>
      </w:pPr>
      <w:r>
        <w:rPr>
          <w:b/>
          <w:bCs/>
        </w:rPr>
        <w:t xml:space="preserve">Create the project. </w:t>
      </w:r>
      <w:r>
        <w:t xml:space="preserve">Go to </w:t>
      </w:r>
    </w:p>
    <w:p>
      <w:pPr>
        <w:spacing w:after="120" w:line="276"/>
      </w:pPr>
      <w:r>
        <w:t xml:space="preserve">       </w:t>
      </w:r>
      <w:hyperlink w:history="1" r:id="rIdeukzvkmx4lsh9eyofj-ph">
        <w:r>
          <w:rPr>
            <w:rStyle w:val="Hyperlink"/>
          </w:rPr>
          <w:t xml:space="preserve">https://supabase.com</w:t>
        </w:r>
      </w:hyperlink>
      <w:r>
        <w:t xml:space="preserve"> → sign up → “New project.” Give it a name like </w:t>
      </w:r>
      <w:r>
        <w:rPr>
          <w:rFonts w:ascii="Consolas" w:cs="Consolas" w:eastAsia="Consolas" w:hAnsi="Consolas"/>
          <w:sz w:val="19"/>
          <w:szCs w:val="19"/>
        </w:rPr>
        <w:t xml:space="preserve">arka-prod</w:t>
      </w:r>
      <w:r>
        <w:t xml:space="preserve">, pick a region near your users, and set a strong database password (save it in a password manager).</w:t>
      </w:r>
    </w:p>
    <w:p>
      <w:pPr>
        <w:pStyle w:val="ListParagraph"/>
        <w:numPr>
          <w:ilvl w:val="0"/>
          <w:numId w:val="3"/>
        </w:numPr>
        <w:spacing w:after="80" w:line="264"/>
      </w:pPr>
      <w:r>
        <w:rPr>
          <w:b/>
          <w:bCs/>
        </w:rPr>
        <w:t xml:space="preserve">Get your keys. </w:t>
      </w:r>
      <w:r>
        <w:t xml:space="preserve">In the Supabase dashboard go to Project Settings → API. You need three values: the Project URL, the “anon / public” key, and the “service_role”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4"/>
              <w:left w:val="single" w:color="D93025" w:sz="18"/>
              <w:bottom w:val="single" w:color="D93025" w:sz="4"/>
              <w:right w:val="single" w:color="D93025" w:sz="4"/>
            </w:tcBorders>
            <w:shd w:fill="FCE8E6" w:val="clear"/>
            <w:tcMar>
              <w:top w:type="dxa" w:w="120"/>
              <w:left w:type="dxa" w:w="160"/>
              <w:bottom w:type="dxa" w:w="120"/>
              <w:right w:type="dxa" w:w="160"/>
            </w:tcMar>
          </w:tcPr>
          <w:p>
            <w:pPr>
              <w:spacing w:after="60"/>
            </w:pPr>
            <w:r>
              <w:rPr>
                <w:b/>
                <w:bCs/>
                <w:color w:val="D93025"/>
                <w:sz w:val="21"/>
                <w:szCs w:val="21"/>
              </w:rPr>
              <w:t xml:space="preserve">DO THIS FIRST</w:t>
            </w:r>
          </w:p>
          <w:p>
            <w:pPr>
              <w:spacing w:after="40" w:line="264"/>
            </w:pPr>
            <w:r>
              <w:rPr>
                <w:sz w:val="21"/>
                <w:szCs w:val="21"/>
              </w:rPr>
              <w:t xml:space="preserve">The service_role key is a master key that bypasses all security rules. Treat it like a password. Never paste it into your code, never commit it to GitHub, never put it in any NEXT_PUBLIC_ variable. It belongs ONLY in .env.local (which is git-ignored) and in your Vercel dashboard.</w:t>
            </w:r>
          </w:p>
        </w:tc>
      </w:tr>
    </w:tbl>
    <w:p>
      <w:pPr>
        <w:pStyle w:val="ListParagraph"/>
        <w:numPr>
          <w:ilvl w:val="0"/>
          <w:numId w:val="3"/>
        </w:numPr>
        <w:spacing w:after="80" w:line="264"/>
      </w:pPr>
      <w:r>
        <w:rPr>
          <w:b/>
          <w:bCs/>
        </w:rPr>
        <w:t xml:space="preserve">Paste the keys into .env.local. </w:t>
      </w:r>
      <w:r>
        <w:t xml:space="preserve">Open the file and fill the three blank lines:</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NEXT_PUBLIC_SUPABASE_URL=https://YOUR-PROJECT.supabase.co</w:t>
      </w:r>
    </w:p>
    <w:p>
      <w:pPr>
        <w:pBdr>
          <w:left w:val="single" w:color="2E75B6" w:sz="18" w:space="4"/>
        </w:pBdr>
        <w:shd w:fill="1E1E1E" w:val="clear"/>
        <w:spacing w:after="0" w:before="0" w:line="264"/>
      </w:pPr>
      <w:r>
        <w:rPr>
          <w:rFonts w:ascii="Consolas" w:cs="Consolas" w:eastAsia="Consolas" w:hAnsi="Consolas"/>
          <w:color w:val="D4D4D4"/>
          <w:sz w:val="18"/>
          <w:szCs w:val="18"/>
        </w:rPr>
        <w:t xml:space="preserve">NEXT_PUBLIC_SUPABASE_ANON_KEY=eyJhbGciOi...   (the anon key)</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SUPABASE_SERVICE_ROLE_KEY=eyJhbGciOi...        (the service_role key)</w:t>
      </w:r>
    </w:p>
    <w:p>
      <w:pPr>
        <w:pStyle w:val="ListParagraph"/>
        <w:numPr>
          <w:ilvl w:val="0"/>
          <w:numId w:val="3"/>
        </w:numPr>
        <w:spacing w:after="80" w:line="264"/>
      </w:pPr>
      <w:r>
        <w:rPr>
          <w:b/>
          <w:bCs/>
        </w:rPr>
        <w:t xml:space="preserve">Run the migrations (build the tables). </w:t>
      </w:r>
      <w:r>
        <w:t xml:space="preserve">The easiest beginner path is the Supabase SQL Editor: in the dashboard open SQL Editor, then open each file in your </w:t>
      </w:r>
      <w:r>
        <w:rPr>
          <w:rFonts w:ascii="Consolas" w:cs="Consolas" w:eastAsia="Consolas" w:hAnsi="Consolas"/>
          <w:sz w:val="19"/>
          <w:szCs w:val="19"/>
        </w:rPr>
        <w:t xml:space="preserve">supabase/migrations/</w:t>
      </w:r>
      <w:r>
        <w:t xml:space="preserve"> folder in order (001, 002, 003 …), paste its contents, and click Run. If you prefer the command line and have the Supabase CLI installed, you can instead run:</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supabase link --project-ref YOUR-PROJECT-REF</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supabase db push</w:t>
      </w:r>
    </w:p>
    <w:p>
      <w:pPr>
        <w:pStyle w:val="ListParagraph"/>
        <w:numPr>
          <w:ilvl w:val="0"/>
          <w:numId w:val="3"/>
        </w:numPr>
        <w:spacing w:after="80" w:line="264"/>
      </w:pPr>
      <w:r>
        <w:rPr>
          <w:b/>
          <w:bCs/>
        </w:rPr>
        <w:t xml:space="preserve">Seed the demo data. </w:t>
      </w:r>
      <w:r>
        <w:t xml:space="preserve">Your project already has a script for this. Back in the terminal:</w:t>
      </w:r>
    </w:p>
    <w:p>
      <w:pPr>
        <w:pBdr>
          <w:left w:val="single" w:color="2E75B6" w:sz="18" w:space="4"/>
        </w:pBdr>
        <w:shd w:fill="1E1E1E" w:val="clear"/>
        <w:spacing w:after="120" w:before="80" w:line="264"/>
      </w:pPr>
      <w:r>
        <w:rPr>
          <w:rFonts w:ascii="Consolas" w:cs="Consolas" w:eastAsia="Consolas" w:hAnsi="Consolas"/>
          <w:color w:val="D4D4D4"/>
          <w:sz w:val="18"/>
          <w:szCs w:val="18"/>
        </w:rPr>
        <w:t xml:space="preserve">npm run seed:ins</w:t>
      </w:r>
    </w:p>
    <w:p>
      <w:pPr>
        <w:spacing w:after="120" w:line="276"/>
      </w:pPr>
      <w:r>
        <w:t xml:space="preserve">This populates the INS tables with the synthetic demo dataset (providers, prior-auth history, ROI inputs). There is also </w:t>
      </w:r>
      <w:r>
        <w:rPr>
          <w:rFonts w:ascii="Consolas" w:cs="Consolas" w:eastAsia="Consolas" w:hAnsi="Consolas"/>
          <w:sz w:val="19"/>
          <w:szCs w:val="19"/>
        </w:rPr>
        <w:t xml:space="preserve">npm run seed:rarity</w:t>
      </w:r>
      <w:r>
        <w:t xml:space="preserve"> if you want the rarity-index data, and </w:t>
      </w:r>
      <w:r>
        <w:rPr>
          <w:rFonts w:ascii="Consolas" w:cs="Consolas" w:eastAsia="Consolas" w:hAnsi="Consolas"/>
          <w:sz w:val="19"/>
          <w:szCs w:val="19"/>
        </w:rPr>
        <w:t xml:space="preserve">npm run reset:ins</w:t>
      </w:r>
      <w:r>
        <w:t xml:space="preserve"> to wipe and start over.</w:t>
      </w:r>
    </w:p>
    <w:p>
      <w:pPr>
        <w:pStyle w:val="ListParagraph"/>
        <w:numPr>
          <w:ilvl w:val="0"/>
          <w:numId w:val="3"/>
        </w:numPr>
        <w:spacing w:after="80" w:line="264"/>
      </w:pPr>
      <w:r>
        <w:rPr>
          <w:b/>
          <w:bCs/>
        </w:rPr>
        <w:t xml:space="preserve">Add the SAME three keys to Vercel. </w:t>
      </w:r>
      <w:r>
        <w:t xml:space="preserve">Your live site runs on Vercel, not your laptop. In the Vercel dashboard → your project → Settings → Environment Variables, add the three keys for the Production (and Preview) environments, then redeploy.</w:t>
      </w:r>
    </w:p>
    <w:p>
      <w:pPr>
        <w:pStyle w:val="ListParagraph"/>
        <w:numPr>
          <w:ilvl w:val="0"/>
          <w:numId w:val="3"/>
        </w:numPr>
        <w:spacing w:after="80" w:line="264"/>
      </w:pPr>
      <w:r>
        <w:rPr>
          <w:b/>
          <w:bCs/>
        </w:rPr>
        <w:t xml:space="preserve">Verify it worked. </w:t>
      </w:r>
      <w:r>
        <w:t xml:space="preserve">Run </w:t>
      </w:r>
      <w:r>
        <w:rPr>
          <w:rFonts w:ascii="Consolas" w:cs="Consolas" w:eastAsia="Consolas" w:hAnsi="Consolas"/>
          <w:sz w:val="19"/>
          <w:szCs w:val="19"/>
        </w:rPr>
        <w:t xml:space="preserve">npm run dev</w:t>
      </w:r>
      <w:r>
        <w:t xml:space="preserve"> again, open </w:t>
      </w:r>
      <w:r>
        <w:rPr>
          <w:rFonts w:ascii="Consolas" w:cs="Consolas" w:eastAsia="Consolas" w:hAnsi="Consolas"/>
          <w:sz w:val="19"/>
          <w:szCs w:val="19"/>
        </w:rPr>
        <w:t xml:space="preserve">/ins</w:t>
      </w:r>
      <w:r>
        <w:t xml:space="preserve">, and confirm the reviewer queue and ROI numbers now load real data instead of the fallback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8"/>
              <w:bottom w:val="single" w:color="4CAF50" w:sz="4"/>
              <w:right w:val="single" w:color="4CAF50" w:sz="4"/>
            </w:tcBorders>
            <w:shd w:fill="E8F5E9" w:val="clear"/>
            <w:tcMar>
              <w:top w:type="dxa" w:w="120"/>
              <w:left w:type="dxa" w:w="160"/>
              <w:bottom w:type="dxa" w:w="120"/>
              <w:right w:type="dxa" w:w="160"/>
            </w:tcMar>
          </w:tcPr>
          <w:p>
            <w:pPr>
              <w:spacing w:after="60"/>
            </w:pPr>
            <w:r>
              <w:rPr>
                <w:b/>
                <w:bCs/>
                <w:color w:val="4CAF50"/>
                <w:sz w:val="21"/>
                <w:szCs w:val="21"/>
              </w:rPr>
              <w:t xml:space="preserve">BOTTOM LINE</w:t>
            </w:r>
          </w:p>
          <w:p>
            <w:pPr>
              <w:spacing w:after="40" w:line="264"/>
            </w:pPr>
            <w:r>
              <w:rPr>
                <w:sz w:val="21"/>
                <w:szCs w:val="21"/>
              </w:rPr>
              <w:t xml:space="preserve">Verdict for Task 1: Supabase is integrated and healthy in the code, just not switched on. It is NOT a blocker for an investor demo if you use Demo Mode, but connecting + seeding it (about an hour) makes your strongest revenue feature — the INS ROI story — demo with live data. Decide based on your demo plan using the table above.</w:t>
            </w:r>
          </w:p>
        </w:tc>
      </w:tr>
    </w:tbl>
    <w:p>
      <w:r>
        <w:br w:type="page"/>
      </w:r>
    </w:p>
    <w:p>
      <w:pPr>
        <w:pStyle w:val="Heading1"/>
      </w:pPr>
      <w:r>
        <w:t xml:space="preserve">Task 2 — Make GitHub private and secure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4"/>
              <w:left w:val="single" w:color="D93025" w:sz="18"/>
              <w:bottom w:val="single" w:color="D93025" w:sz="4"/>
              <w:right w:val="single" w:color="D93025" w:sz="4"/>
            </w:tcBorders>
            <w:shd w:fill="FCE8E6" w:val="clear"/>
            <w:tcMar>
              <w:top w:type="dxa" w:w="120"/>
              <w:left w:type="dxa" w:w="160"/>
              <w:bottom w:type="dxa" w:w="120"/>
              <w:right w:type="dxa" w:w="160"/>
            </w:tcMar>
          </w:tcPr>
          <w:p>
            <w:pPr>
              <w:spacing w:after="60"/>
            </w:pPr>
            <w:r>
              <w:rPr>
                <w:b/>
                <w:bCs/>
                <w:color w:val="D93025"/>
                <w:sz w:val="21"/>
                <w:szCs w:val="21"/>
              </w:rPr>
              <w:t xml:space="preserve">DO THIS FIRST</w:t>
            </w:r>
          </w:p>
          <w:p>
            <w:pPr>
              <w:spacing w:after="40" w:line="264"/>
            </w:pPr>
            <w:r>
              <w:rPr>
                <w:sz w:val="21"/>
                <w:szCs w:val="21"/>
              </w:rPr>
              <w:t xml:space="preserve">Your repository github.com/ArKa3003/arkahealth is PUBLIC right now. Anyone on the internet can read all of it. Good news: I checked, and no .env secret files are committed (your .gitignore correctly excludes them). But “make it private” is only half the job — because it has been public, you must assume someone could already have copied it. So the real task is: (1) check what was ever exposed, (2) rotate anything sensitive, then (3) flip it to private.</w:t>
            </w:r>
          </w:p>
        </w:tc>
      </w:tr>
    </w:tbl>
    <w:p>
      <w:pPr>
        <w:pStyle w:val="Heading2"/>
      </w:pPr>
      <w:r>
        <w:t xml:space="preserve">Why “just make it private” isn't enough</w:t>
      </w:r>
    </w:p>
    <w:p>
      <w:pPr>
        <w:spacing w:after="120" w:line="276"/>
      </w:pPr>
      <w:r>
        <w:t xml:space="preserve">Making a repo private stops </w:t>
      </w:r>
      <w:r>
        <w:rPr>
          <w:b/>
          <w:bCs/>
        </w:rPr>
        <w:t xml:space="preserve">future</w:t>
      </w:r>
      <w:r>
        <w:t xml:space="preserve"> access. It does not undo </w:t>
      </w:r>
      <w:r>
        <w:rPr>
          <w:b/>
          <w:bCs/>
        </w:rPr>
        <w:t xml:space="preserve">past</w:t>
      </w:r>
      <w:r>
        <w:t xml:space="preserve"> access. Search engines, automated bots, and people who cloned it still have whatever was visible. That's why the order matters: scan and rotate </w:t>
      </w:r>
      <w:r>
        <w:rPr>
          <w:b/>
          <w:bCs/>
        </w:rPr>
        <w:t xml:space="preserve">first</w:t>
      </w:r>
      <w:r>
        <w:t xml:space="preserve">, then make it private. If nothing sensitive was ever committed (likely your case), the scan is quick and you can relax — but you should still confirm rather than assume.</w:t>
      </w:r>
    </w:p>
    <w:p>
      <w:pPr>
        <w:pStyle w:val="Heading2"/>
      </w:pPr>
      <w:r>
        <w:t xml:space="preserve">Step A — Scan for secrets that may have been committed (do this first)</w:t>
      </w:r>
    </w:p>
    <w:p>
      <w:pPr>
        <w:spacing w:after="120" w:line="276"/>
      </w:pPr>
      <w:r>
        <w:t xml:space="preserve">Open a terminal in your project and run these checks.</w:t>
      </w:r>
    </w:p>
    <w:p>
      <w:pPr>
        <w:pStyle w:val="ListParagraph"/>
        <w:numPr>
          <w:ilvl w:val="0"/>
          <w:numId w:val="4"/>
        </w:numPr>
        <w:spacing w:after="80" w:line="264"/>
      </w:pPr>
      <w:r>
        <w:rPr>
          <w:b/>
          <w:bCs/>
        </w:rPr>
        <w:t xml:space="preserve">Confirm no env files are tracked: </w:t>
      </w:r>
    </w:p>
    <w:p>
      <w:pPr>
        <w:pBdr>
          <w:left w:val="single" w:color="2E75B6" w:sz="18" w:space="4"/>
        </w:pBdr>
        <w:shd w:fill="1E1E1E" w:val="clear"/>
        <w:spacing w:after="120" w:before="80" w:line="264"/>
      </w:pPr>
      <w:r>
        <w:rPr>
          <w:rFonts w:ascii="Consolas" w:cs="Consolas" w:eastAsia="Consolas" w:hAnsi="Consolas"/>
          <w:color w:val="D4D4D4"/>
          <w:sz w:val="18"/>
          <w:szCs w:val="18"/>
        </w:rPr>
        <w:t xml:space="preserve">git ls-files | grep -iE "\.env"</w:t>
      </w:r>
    </w:p>
    <w:p>
      <w:pPr>
        <w:spacing w:after="120" w:line="276"/>
      </w:pPr>
      <w:r>
        <w:t xml:space="preserve">Expected result: only </w:t>
      </w:r>
      <w:r>
        <w:rPr>
          <w:rFonts w:ascii="Consolas" w:cs="Consolas" w:eastAsia="Consolas" w:hAnsi="Consolas"/>
          <w:sz w:val="19"/>
          <w:szCs w:val="19"/>
        </w:rPr>
        <w:t xml:space="preserve">.env.example</w:t>
      </w:r>
      <w:r>
        <w:t xml:space="preserve"> (a safe template with no real values). If you see </w:t>
      </w:r>
      <w:r>
        <w:rPr>
          <w:rFonts w:ascii="Consolas" w:cs="Consolas" w:eastAsia="Consolas" w:hAnsi="Consolas"/>
          <w:sz w:val="19"/>
          <w:szCs w:val="19"/>
        </w:rPr>
        <w:t xml:space="preserve">.env.local</w:t>
      </w:r>
      <w:r>
        <w:t xml:space="preserve"> or </w:t>
      </w:r>
      <w:r>
        <w:rPr>
          <w:rFonts w:ascii="Consolas" w:cs="Consolas" w:eastAsia="Consolas" w:hAnsi="Consolas"/>
          <w:sz w:val="19"/>
          <w:szCs w:val="19"/>
        </w:rPr>
        <w:t xml:space="preserve">.env.production</w:t>
      </w:r>
      <w:r>
        <w:t xml:space="preserve"> listed, that's a real secret leak — go to the “If a secret WAS exposed” box below.</w:t>
      </w:r>
    </w:p>
    <w:p>
      <w:pPr>
        <w:pStyle w:val="ListParagraph"/>
        <w:numPr>
          <w:ilvl w:val="0"/>
          <w:numId w:val="4"/>
        </w:numPr>
        <w:spacing w:after="80" w:line="264"/>
      </w:pPr>
      <w:r>
        <w:rPr>
          <w:b/>
          <w:bCs/>
        </w:rPr>
        <w:t xml:space="preserve">Search the entire history for things that look like keys: </w:t>
      </w:r>
    </w:p>
    <w:p>
      <w:pPr>
        <w:pBdr>
          <w:left w:val="single" w:color="2E75B6" w:sz="18" w:space="4"/>
        </w:pBdr>
        <w:shd w:fill="1E1E1E" w:val="clear"/>
        <w:spacing w:after="120" w:before="80" w:line="264"/>
      </w:pPr>
      <w:r>
        <w:rPr>
          <w:rFonts w:ascii="Consolas" w:cs="Consolas" w:eastAsia="Consolas" w:hAnsi="Consolas"/>
          <w:color w:val="D4D4D4"/>
          <w:sz w:val="18"/>
          <w:szCs w:val="18"/>
        </w:rPr>
        <w:t xml:space="preserve">git log -p | grep -iE "(service_role|secret|api[_-]?key|password|eyJhbGci)" | head</w:t>
      </w:r>
    </w:p>
    <w:p>
      <w:pPr>
        <w:spacing w:after="120" w:line="276"/>
      </w:pPr>
      <w:r>
        <w:t xml:space="preserve">This scans every past commit. </w:t>
      </w:r>
      <w:r>
        <w:rPr>
          <w:rFonts w:ascii="Consolas" w:cs="Consolas" w:eastAsia="Consolas" w:hAnsi="Consolas"/>
          <w:sz w:val="19"/>
          <w:szCs w:val="19"/>
        </w:rPr>
        <w:t xml:space="preserve">eyJhbGci</w:t>
      </w:r>
      <w:r>
        <w:t xml:space="preserve"> is how Supabase/JWT keys begin, so it's a useful tripwire. A few hits inside </w:t>
      </w:r>
      <w:r>
        <w:rPr>
          <w:rFonts w:ascii="Consolas" w:cs="Consolas" w:eastAsia="Consolas" w:hAnsi="Consolas"/>
          <w:sz w:val="19"/>
          <w:szCs w:val="19"/>
        </w:rPr>
        <w:t xml:space="preserve">.env.example</w:t>
      </w:r>
      <w:r>
        <w:t xml:space="preserve"> placeholders are fine; real-looking values are not.</w:t>
      </w:r>
    </w:p>
    <w:p>
      <w:pPr>
        <w:pStyle w:val="ListParagraph"/>
        <w:numPr>
          <w:ilvl w:val="0"/>
          <w:numId w:val="4"/>
        </w:numPr>
        <w:spacing w:after="80" w:line="264"/>
      </w:pPr>
      <w:r>
        <w:rPr>
          <w:b/>
          <w:bCs/>
        </w:rPr>
        <w:t xml:space="preserve">Run a dedicated secret scanner (recommended). </w:t>
      </w:r>
      <w:r>
        <w:t xml:space="preserve">GitHub has one built in. Go to your repo on GitHub → Settings → “Code security” and turn on </w:t>
      </w:r>
      <w:r>
        <w:rPr>
          <w:b/>
          <w:bCs/>
        </w:rPr>
        <w:t xml:space="preserve">Secret scanning</w:t>
      </w:r>
      <w:r>
        <w:t xml:space="preserve"> and </w:t>
      </w:r>
      <w:r>
        <w:rPr>
          <w:b/>
          <w:bCs/>
        </w:rPr>
        <w:t xml:space="preserve">Push protection</w:t>
      </w:r>
      <w:r>
        <w:t xml:space="preserve">. For a deeper local scan you can use the free tool gitleaks:</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brew install gitleaks    # macOS</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gitleaks detect --source . --verbose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18"/>
              <w:bottom w:val="single" w:color="E0A030" w:sz="4"/>
              <w:right w:val="single" w:color="E0A030" w:sz="4"/>
            </w:tcBorders>
            <w:shd w:fill="FFF4E0" w:val="clear"/>
            <w:tcMar>
              <w:top w:type="dxa" w:w="120"/>
              <w:left w:type="dxa" w:w="160"/>
              <w:bottom w:type="dxa" w:w="120"/>
              <w:right w:type="dxa" w:w="160"/>
            </w:tcMar>
          </w:tcPr>
          <w:p>
            <w:pPr>
              <w:spacing w:after="60"/>
            </w:pPr>
            <w:r>
              <w:rPr>
                <w:b/>
                <w:bCs/>
                <w:color w:val="E0A030"/>
                <w:sz w:val="21"/>
                <w:szCs w:val="21"/>
              </w:rPr>
              <w:t xml:space="preserve">IF A SECRET WAS EXPOSED</w:t>
            </w:r>
          </w:p>
          <w:p>
            <w:pPr>
              <w:spacing w:after="40" w:line="264"/>
            </w:pPr>
            <w:r>
              <w:rPr>
                <w:sz w:val="21"/>
                <w:szCs w:val="21"/>
              </w:rPr>
              <w:t xml:space="preserve">If any scan finds a real secret (a Supabase service_role key, an API key, a token), it is compromised the moment it touches a public repo. Making the repo private later does NOT make that key safe again. You must ROTATE it — see the next 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4"/>
              <w:left w:val="single" w:color="D93025" w:sz="18"/>
              <w:bottom w:val="single" w:color="D93025" w:sz="4"/>
              <w:right w:val="single" w:color="D93025" w:sz="4"/>
            </w:tcBorders>
            <w:shd w:fill="FCE8E6" w:val="clear"/>
            <w:tcMar>
              <w:top w:type="dxa" w:w="120"/>
              <w:left w:type="dxa" w:w="160"/>
              <w:bottom w:type="dxa" w:w="120"/>
              <w:right w:type="dxa" w:w="160"/>
            </w:tcMar>
          </w:tcPr>
          <w:p>
            <w:pPr>
              <w:spacing w:after="60"/>
            </w:pPr>
            <w:r>
              <w:rPr>
                <w:b/>
                <w:bCs/>
                <w:color w:val="D93025"/>
                <w:sz w:val="21"/>
                <w:szCs w:val="21"/>
              </w:rPr>
              <w:t xml:space="preserve">HOW TO ROTATE A LEAKED KEY</w:t>
            </w:r>
          </w:p>
          <w:p>
            <w:pPr>
              <w:spacing w:after="40" w:line="264"/>
            </w:pPr>
            <w:r>
              <w:rPr>
                <w:sz w:val="21"/>
                <w:szCs w:val="21"/>
              </w:rPr>
              <w:t xml:space="preserve">1. In the service that issued it (Supabase, Vercel, etc.), generate a new key / reset the old one so the old value stops working.</w:t>
            </w:r>
          </w:p>
          <w:p>
            <w:pPr>
              <w:spacing w:after="40" w:line="264"/>
            </w:pPr>
            <w:r>
              <w:rPr>
                <w:sz w:val="21"/>
                <w:szCs w:val="21"/>
              </w:rPr>
              <w:t xml:space="preserve">2. Update .env.local and your Vercel environment variables with the new value.</w:t>
            </w:r>
          </w:p>
          <w:p>
            <w:pPr>
              <w:spacing w:after="40" w:line="264"/>
            </w:pPr>
            <w:r>
              <w:rPr>
                <w:sz w:val="21"/>
                <w:szCs w:val="21"/>
              </w:rPr>
              <w:t xml:space="preserve">3. Remove the secret from git history (tools: git filter-repo, or BFG Repo-Cleaner), then force-push. This is fiddly — if unsure, the safest beginner option is to delete the repo and re-create it fresh from your current clean code, then never commit the secret again.</w:t>
            </w:r>
          </w:p>
          <w:p>
            <w:pPr>
              <w:spacing w:after="40" w:line="264"/>
            </w:pPr>
            <w:r>
              <w:rPr>
                <w:sz w:val="21"/>
                <w:szCs w:val="21"/>
              </w:rPr>
              <w:t xml:space="preserve">4. Redeploy and confirm everything still works with the new key.</w:t>
            </w:r>
          </w:p>
        </w:tc>
      </w:tr>
    </w:tbl>
    <w:p>
      <w:pPr>
        <w:pStyle w:val="Heading2"/>
      </w:pPr>
      <w:r>
        <w:t xml:space="preserve">Step B — Make the repository private</w:t>
      </w:r>
    </w:p>
    <w:p>
      <w:pPr>
        <w:pStyle w:val="ListParagraph"/>
        <w:numPr>
          <w:ilvl w:val="0"/>
          <w:numId w:val="5"/>
        </w:numPr>
        <w:spacing w:after="80" w:line="264"/>
      </w:pPr>
      <w:r>
        <w:t xml:space="preserve">Go to </w:t>
      </w:r>
      <w:hyperlink w:history="1" r:id="rIdsasnic09_j5myum4u954e">
        <w:r>
          <w:rPr>
            <w:rStyle w:val="Hyperlink"/>
          </w:rPr>
          <w:t xml:space="preserve">https://github.com/ArKa3003/arkahealth</w:t>
        </w:r>
      </w:hyperlink>
      <w:r>
        <w:t xml:space="preserve"> and sign in.</w:t>
      </w:r>
    </w:p>
    <w:p>
      <w:pPr>
        <w:pStyle w:val="ListParagraph"/>
        <w:numPr>
          <w:ilvl w:val="0"/>
          <w:numId w:val="5"/>
        </w:numPr>
        <w:spacing w:after="80" w:line="264"/>
      </w:pPr>
      <w:r>
        <w:t xml:space="preserve">Click the Settings tab (top right of the repo page).</w:t>
      </w:r>
    </w:p>
    <w:p>
      <w:pPr>
        <w:pStyle w:val="ListParagraph"/>
        <w:numPr>
          <w:ilvl w:val="0"/>
          <w:numId w:val="5"/>
        </w:numPr>
        <w:spacing w:after="80" w:line="264"/>
      </w:pPr>
      <w:r>
        <w:t xml:space="preserve">Scroll all the way down to the “Danger Zone.”</w:t>
      </w:r>
    </w:p>
    <w:p>
      <w:pPr>
        <w:pStyle w:val="ListParagraph"/>
        <w:numPr>
          <w:ilvl w:val="0"/>
          <w:numId w:val="5"/>
        </w:numPr>
        <w:spacing w:after="80" w:line="264"/>
      </w:pPr>
      <w:r>
        <w:t xml:space="preserve">Click “Change repository visibility” → choose “Private” → confirm by typing the repo name.</w:t>
      </w:r>
    </w:p>
    <w:p>
      <w:pPr>
        <w:pStyle w:val="ListParagraph"/>
        <w:numPr>
          <w:ilvl w:val="0"/>
          <w:numId w:val="5"/>
        </w:numPr>
        <w:spacing w:after="80" w:line="264"/>
      </w:pPr>
      <w:r>
        <w:t xml:space="preserve">You're done — the repo is now private. Re-load the page in a logged-out browser window to confirm it shows a 404 to the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20"/>
              <w:left w:type="dxa" w:w="160"/>
              <w:bottom w:type="dxa" w:w="120"/>
              <w:right w:type="dxa" w:w="160"/>
            </w:tcMar>
          </w:tcPr>
          <w:p>
            <w:pPr>
              <w:spacing w:after="60"/>
            </w:pPr>
            <w:r>
              <w:rPr>
                <w:b/>
                <w:bCs/>
                <w:color w:val="2E75B6"/>
                <w:sz w:val="21"/>
                <w:szCs w:val="21"/>
              </w:rPr>
              <w:t xml:space="preserve">NOTE</w:t>
            </w:r>
          </w:p>
          <w:p>
            <w:pPr>
              <w:spacing w:after="40" w:line="264"/>
            </w:pPr>
            <w:r>
              <w:rPr>
                <w:sz w:val="21"/>
                <w:szCs w:val="21"/>
              </w:rPr>
              <w:t xml:space="preserve">Making it private does NOT break your live site. Vercel keeps its own connection to deploy. It also won't delete anything. If you have collaborators, double-check they still have access (Settings → Collaborators).</w:t>
            </w:r>
          </w:p>
        </w:tc>
      </w:tr>
    </w:tbl>
    <w:p>
      <w:pPr>
        <w:pStyle w:val="Heading2"/>
      </w:pPr>
      <w:r>
        <w:t xml:space="preserve">Step C — The rest of the security checklist before you email investors</w:t>
      </w:r>
    </w:p>
    <w:p>
      <w:pPr>
        <w:spacing w:after="120" w:line="276"/>
      </w:pPr>
      <w:r>
        <w:t xml:space="preserve">Making the code private is the headline item. These are the other things to lock down so a security-savvy investor (or their technical advisor) doesn't find an easy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Check</w:t>
            </w:r>
          </w:p>
        </w:tc>
        <w:tc>
          <w:tcPr>
            <w:tcW w:type="dxa" w:w="30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Where</w:t>
            </w:r>
          </w:p>
        </w:tc>
        <w:tc>
          <w:tcPr>
            <w:tcW w:type="dxa" w:w="36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What to do</w:t>
            </w:r>
          </w:p>
        </w:tc>
      </w:tr>
      <w:tr>
        <w:tc>
          <w:tcPr>
            <w:tcW w:type="dxa" w:w="2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Turn on 2-factor auth</w:t>
            </w:r>
          </w:p>
        </w:tc>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GitHub account settings</w:t>
            </w:r>
          </w:p>
        </w:tc>
        <w:tc>
          <w:tcPr>
            <w:tcW w:type="dxa" w:w="36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Enables a phone/app code on login. Non-negotiable.</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Secret scanning + push protection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Repo → Settings → Code security</w:t>
            </w:r>
          </w:p>
        </w:tc>
        <w:tc>
          <w:tcPr>
            <w:tcW w:type="dxa" w:w="3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Auto-blocks future secret commits.</w:t>
            </w:r>
          </w:p>
        </w:tc>
      </w:tr>
      <w:tr>
        <w:tc>
          <w:tcPr>
            <w:tcW w:type="dxa" w:w="2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Branch protection on main</w:t>
            </w:r>
          </w:p>
        </w:tc>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Repo → Settings → Branches</w:t>
            </w:r>
          </w:p>
        </w:tc>
        <w:tc>
          <w:tcPr>
            <w:tcW w:type="dxa" w:w="36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Prevents accidental force-push / direct edits to main.</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Dependabot alerts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Repo → Settings → Code security</w:t>
            </w:r>
          </w:p>
        </w:tc>
        <w:tc>
          <w:tcPr>
            <w:tcW w:type="dxa" w:w="3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Warns about vulnerable npm packages.</w:t>
            </w:r>
          </w:p>
        </w:tc>
      </w:tr>
      <w:tr>
        <w:tc>
          <w:tcPr>
            <w:tcW w:type="dxa" w:w="2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Review collaborators / access</w:t>
            </w:r>
          </w:p>
        </w:tc>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Repo → Settings → Collaborators</w:t>
            </w:r>
          </w:p>
        </w:tc>
        <w:tc>
          <w:tcPr>
            <w:tcW w:type="dxa" w:w="36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Remove anyone who shouldn't have access.</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Env vars live ONLY in Vercel + .env.local</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Vercel dashboard</w:t>
            </w:r>
          </w:p>
        </w:tc>
        <w:tc>
          <w:tcPr>
            <w:tcW w:type="dxa" w:w="3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Never hard-code keys in source files.</w:t>
            </w:r>
          </w:p>
        </w:tc>
      </w:tr>
      <w:tr>
        <w:tc>
          <w:tcPr>
            <w:tcW w:type="dxa" w:w="2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Run a dependency audit</w:t>
            </w:r>
          </w:p>
        </w:tc>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Terminal</w:t>
            </w:r>
          </w:p>
        </w:tc>
        <w:tc>
          <w:tcPr>
            <w:tcW w:type="dxa" w:w="36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See command below.</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No real PHI anywhere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Repo + live demos</w:t>
            </w:r>
          </w:p>
        </w:tc>
        <w:tc>
          <w:tcPr>
            <w:tcW w:type="dxa" w:w="3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Confirm all patient data is synthetic/fake.</w:t>
            </w:r>
          </w:p>
        </w:tc>
      </w:tr>
      <w:tr>
        <w:tc>
          <w:tcPr>
            <w:tcW w:type="dxa" w:w="27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Vercel deploy protection</w:t>
            </w:r>
          </w:p>
        </w:tc>
        <w:tc>
          <w:tcPr>
            <w:tcW w:type="dxa" w:w="30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Vercel → Settings</w:t>
            </w:r>
          </w:p>
        </w:tc>
        <w:tc>
          <w:tcPr>
            <w:tcW w:type="dxa" w:w="36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Optional: password-protect preview URLs.</w:t>
            </w:r>
          </w:p>
        </w:tc>
      </w:tr>
    </w:tbl>
    <w:p>
      <w:pPr>
        <w:spacing w:after="120" w:line="276"/>
      </w:pPr>
      <w:r>
        <w:rPr>
          <w:b/>
          <w:bCs/>
        </w:rPr>
        <w:t xml:space="preserve">Dependency audit command: </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npm audit</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npm audit fix          # applies safe fixes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18"/>
              <w:bottom w:val="single" w:color="E0A030" w:sz="4"/>
              <w:right w:val="single" w:color="E0A030" w:sz="4"/>
            </w:tcBorders>
            <w:shd w:fill="FFF4E0" w:val="clear"/>
            <w:tcMar>
              <w:top w:type="dxa" w:w="120"/>
              <w:left w:type="dxa" w:w="160"/>
              <w:bottom w:type="dxa" w:w="120"/>
              <w:right w:type="dxa" w:w="160"/>
            </w:tcMar>
          </w:tcPr>
          <w:p>
            <w:pPr>
              <w:spacing w:after="60"/>
            </w:pPr>
            <w:r>
              <w:rPr>
                <w:b/>
                <w:bCs/>
                <w:color w:val="E0A030"/>
                <w:sz w:val="21"/>
                <w:szCs w:val="21"/>
              </w:rPr>
              <w:t xml:space="preserve">IMPORTANT</w:t>
            </w:r>
          </w:p>
          <w:p>
            <w:pPr>
              <w:spacing w:after="40" w:line="264"/>
            </w:pPr>
            <w:r>
              <w:rPr>
                <w:sz w:val="21"/>
                <w:szCs w:val="21"/>
              </w:rPr>
              <w:t xml:space="preserve">PHI (Protected Health Information) is the one a healthcare investor will care about most. ARKA's own legal copy promises that every patient name, MRN, and scenario in the demos is synthetic. Before you present, click through your public demo pages once and confirm there is genuinely no real patient data anywhere. Your docs/PHI_REDACTION.md file is the reference for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8"/>
              <w:bottom w:val="single" w:color="4CAF50" w:sz="4"/>
              <w:right w:val="single" w:color="4CAF50" w:sz="4"/>
            </w:tcBorders>
            <w:shd w:fill="E8F5E9" w:val="clear"/>
            <w:tcMar>
              <w:top w:type="dxa" w:w="120"/>
              <w:left w:type="dxa" w:w="160"/>
              <w:bottom w:type="dxa" w:w="120"/>
              <w:right w:type="dxa" w:w="160"/>
            </w:tcMar>
          </w:tcPr>
          <w:p>
            <w:pPr>
              <w:spacing w:after="60"/>
            </w:pPr>
            <w:r>
              <w:rPr>
                <w:b/>
                <w:bCs/>
                <w:color w:val="4CAF50"/>
                <w:sz w:val="21"/>
                <w:szCs w:val="21"/>
              </w:rPr>
              <w:t xml:space="preserve">BOTTOM LINE</w:t>
            </w:r>
          </w:p>
          <w:p>
            <w:pPr>
              <w:spacing w:after="40" w:line="264"/>
            </w:pPr>
            <w:r>
              <w:rPr>
                <w:sz w:val="21"/>
                <w:szCs w:val="21"/>
              </w:rPr>
              <w:t xml:space="preserve">Verdict for Task 2, in order: (1) run the secret scans in Step A; (2) rotate any real key that shows up (almost certainly none, since your .env files aren't committed); (3) flip the repo to Private in the Danger Zone; (4) turn on 2FA, secret scanning, and branch protection; (5) run npm audit. After that, your codebase is safe to reference in investor conversations.</w:t>
            </w:r>
          </w:p>
        </w:tc>
      </w:tr>
    </w:tbl>
    <w:p>
      <w:r>
        <w:br w:type="page"/>
      </w:r>
    </w:p>
    <w:p>
      <w:pPr>
        <w:pStyle w:val="Heading1"/>
      </w:pPr>
      <w:r>
        <w:t xml:space="preserve">Task 3 — The Phase 10 Loom video: what it's for and how to make it</w:t>
      </w:r>
    </w:p>
    <w:p>
      <w:pPr>
        <w:pStyle w:val="Heading2"/>
      </w:pPr>
      <w:r>
        <w:t xml:space="preserve">What this Loom video is and why Phase 10 asks for it</w:t>
      </w:r>
    </w:p>
    <w:p>
      <w:pPr>
        <w:spacing w:after="120" w:line="276"/>
      </w:pPr>
      <w:r>
        <w:t xml:space="preserve">In your regulatory memo (</w:t>
      </w:r>
      <w:r>
        <w:rPr>
          <w:rFonts w:ascii="Consolas" w:cs="Consolas" w:eastAsia="Consolas" w:hAnsi="Consolas"/>
          <w:sz w:val="19"/>
          <w:szCs w:val="19"/>
        </w:rPr>
        <w:t xml:space="preserve">docs/REGULATORY_RATIONALE_MEMO.md</w:t>
      </w:r>
      <w:r>
        <w:t xml:space="preserve">) there is a line pointing to a file </w:t>
      </w:r>
      <w:r>
        <w:rPr>
          <w:rFonts w:ascii="Consolas" w:cs="Consolas" w:eastAsia="Consolas" w:hAnsi="Consolas"/>
          <w:sz w:val="19"/>
          <w:szCs w:val="19"/>
        </w:rPr>
        <w:t xml:space="preserve">docs/regulatory-evidence/sandbox-loom-url.txt</w:t>
      </w:r>
      <w:r>
        <w:t xml:space="preserve"> marked “Recorded demo video URL [TODO: not yet committed].” </w:t>
      </w:r>
      <w:r>
        <w:rPr>
          <w:b/>
          <w:bCs/>
        </w:rPr>
        <w:t xml:space="preserve">That is the Loom you need to make.</w:t>
      </w:r>
    </w:p>
    <w:p>
      <w:pPr>
        <w:spacing w:after="120" w:line="276"/>
      </w:pPr>
      <w:r>
        <w:t xml:space="preserve">Its job is to be a piece of </w:t>
      </w:r>
      <w:r>
        <w:rPr>
          <w:b/>
          <w:bCs/>
        </w:rPr>
        <w:t xml:space="preserve">evidence</w:t>
      </w:r>
      <w:r>
        <w:t xml:space="preserve">, not marketing. It is a short screen recording that proves ARKA's CDS Hooks services actually fire inside the official public </w:t>
      </w:r>
      <w:r>
        <w:rPr>
          <w:rFonts w:ascii="Consolas" w:cs="Consolas" w:eastAsia="Consolas" w:hAnsi="Consolas"/>
          <w:sz w:val="19"/>
          <w:szCs w:val="19"/>
        </w:rPr>
        <w:t xml:space="preserve">sandbox.cds-hooks.org</w:t>
      </w:r>
      <w:r>
        <w:t xml:space="preserve"> sandbox and return real Non-Device CDS cards — each with a clinical rationale and citation links. You attach this video URL to two places: your compliance/regulatory evidence package, and (later) your FDA Pre-Submission (Task 4). It's also a great 2-minute proof clip to drop into an investor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20"/>
              <w:left w:type="dxa" w:w="160"/>
              <w:bottom w:type="dxa" w:w="120"/>
              <w:right w:type="dxa" w:w="160"/>
            </w:tcMar>
          </w:tcPr>
          <w:p>
            <w:pPr>
              <w:spacing w:after="60"/>
            </w:pPr>
            <w:r>
              <w:rPr>
                <w:b/>
                <w:bCs/>
                <w:color w:val="2E75B6"/>
                <w:sz w:val="21"/>
                <w:szCs w:val="21"/>
              </w:rPr>
              <w:t xml:space="preserve">NOTE</w:t>
            </w:r>
          </w:p>
          <w:p>
            <w:pPr>
              <w:spacing w:after="40" w:line="264"/>
            </w:pPr>
            <w:r>
              <w:rPr>
                <w:sz w:val="21"/>
                <w:szCs w:val="21"/>
              </w:rPr>
              <w:t xml:space="preserve">“Phase 10” in your build plan is the phase that produces the sandbox registration and evidence (your REGULATORY_BASELINE_AUDIT.md says “Phase 10 produces sandbox registration + screenshots”). The Loom recording is the moving-picture version of that evidence — it shows the cards rendering live, which static screenshots can't fully prove.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380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
            </w:r>
          </w:p>
        </w:tc>
        <w:tc>
          <w:tcPr>
            <w:tcW w:type="dxa" w:w="40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The Phase 10 evidence Loom (this task)</w:t>
            </w:r>
          </w:p>
        </w:tc>
        <w:tc>
          <w:tcPr>
            <w:tcW w:type="dxa" w:w="38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The polished investor video</w:t>
            </w:r>
          </w:p>
        </w:tc>
      </w:tr>
      <w:tr>
        <w:tc>
          <w:tcPr>
            <w:tcW w:type="dxa" w:w="15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Purpose</w:t>
            </w:r>
          </w:p>
        </w:tc>
        <w:tc>
          <w:tcPr>
            <w:tcW w:type="dxa" w:w="40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Prove the system works, for regulators/diligence</w:t>
            </w:r>
          </w:p>
        </w:tc>
        <w:tc>
          <w:tcPr>
            <w:tcW w:type="dxa" w:w="38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Sell the story to investors</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Length</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2–4 min, plain narration</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~2:55, scripted, music + captions</w:t>
            </w:r>
          </w:p>
        </w:tc>
      </w:tr>
      <w:tr>
        <w:tc>
          <w:tcPr>
            <w:tcW w:type="dxa" w:w="15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Polish</w:t>
            </w:r>
          </w:p>
        </w:tc>
        <w:tc>
          <w:tcPr>
            <w:tcW w:type="dxa" w:w="40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Low — authenticity matters more than production</w:t>
            </w:r>
          </w:p>
        </w:tc>
        <w:tc>
          <w:tcPr>
            <w:tcW w:type="dxa" w:w="38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High — see your demo script v3</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Where it lives</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sandbox-loom-url.txt + evidence package</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LinkedIn, cold emails, pitch</w:t>
            </w:r>
          </w:p>
        </w:tc>
      </w:tr>
    </w:tbl>
    <w:p>
      <w:pPr>
        <w:spacing w:after="120" w:line="276"/>
      </w:pPr>
      <w:r>
        <w:t xml:space="preserve">Both follow the same on-screen flow, so the “demo protocol” in </w:t>
      </w:r>
      <w:r>
        <w:rPr>
          <w:rFonts w:ascii="Consolas" w:cs="Consolas" w:eastAsia="Consolas" w:hAnsi="Consolas"/>
          <w:sz w:val="19"/>
          <w:szCs w:val="19"/>
        </w:rPr>
        <w:t xml:space="preserve">ARKA_unified_demo_video_script_v3.md</w:t>
      </w:r>
      <w:r>
        <w:t xml:space="preserve"> is your reference for setup and pacing. For this evidence Loom you'll lean on its </w:t>
      </w:r>
      <w:r>
        <w:rPr>
          <w:b/>
          <w:bCs/>
        </w:rPr>
        <w:t xml:space="preserve">pre-recording checklist</w:t>
      </w:r>
      <w:r>
        <w:t xml:space="preserve">, </w:t>
      </w:r>
      <w:r>
        <w:rPr>
          <w:b/>
          <w:bCs/>
        </w:rPr>
        <w:t xml:space="preserve">Beat 6 (CDS Hooks live)</w:t>
      </w:r>
      <w:r>
        <w:t xml:space="preserve">, and </w:t>
      </w:r>
      <w:r>
        <w:rPr>
          <w:b/>
          <w:bCs/>
        </w:rPr>
        <w:t xml:space="preserve">Beat 7 (the receipts / validation dashboard)</w:t>
      </w:r>
      <w:r>
        <w:t xml:space="preserve">.</w:t>
      </w:r>
    </w:p>
    <w:p>
      <w:pPr>
        <w:pStyle w:val="Heading2"/>
      </w:pPr>
      <w:r>
        <w:t xml:space="preserve">Step-by-step: record the Loom</w:t>
      </w:r>
    </w:p>
    <w:p>
      <w:pPr>
        <w:pStyle w:val="Heading3"/>
      </w:pPr>
      <w:r>
        <w:t xml:space="preserve">Part 1 — Get Loom set up (10 minutes, one time)</w:t>
      </w:r>
    </w:p>
    <w:p>
      <w:pPr>
        <w:pStyle w:val="ListParagraph"/>
        <w:numPr>
          <w:ilvl w:val="0"/>
          <w:numId w:val="6"/>
        </w:numPr>
        <w:spacing w:after="80" w:line="264"/>
      </w:pPr>
      <w:r>
        <w:t xml:space="preserve">Go to </w:t>
      </w:r>
      <w:hyperlink w:history="1" r:id="rId69z6y2zzrouewum08jp2g">
        <w:r>
          <w:rPr>
            <w:rStyle w:val="Hyperlink"/>
          </w:rPr>
          <w:t xml:space="preserve">https://www.loom.com</w:t>
        </w:r>
      </w:hyperlink>
      <w:r>
        <w:t xml:space="preserve"> and create a free account.</w:t>
      </w:r>
    </w:p>
    <w:p>
      <w:pPr>
        <w:pStyle w:val="ListParagraph"/>
        <w:numPr>
          <w:ilvl w:val="0"/>
          <w:numId w:val="6"/>
        </w:numPr>
        <w:spacing w:after="80" w:line="264"/>
      </w:pPr>
      <w:r>
        <w:t xml:space="preserve">Install the Loom desktop app (best for screen + voice) or the Chrome extension.</w:t>
      </w:r>
    </w:p>
    <w:p>
      <w:pPr>
        <w:pStyle w:val="ListParagraph"/>
        <w:numPr>
          <w:ilvl w:val="0"/>
          <w:numId w:val="6"/>
        </w:numPr>
        <w:spacing w:after="80" w:line="264"/>
      </w:pPr>
      <w:r>
        <w:t xml:space="preserve">In Loom settings choose to record “Screen + Cam off” (you don't need your face for evidence) and confirm your microphone is the one you want (wired earbuds with a mic sound best).</w:t>
      </w:r>
    </w:p>
    <w:p>
      <w:pPr>
        <w:pStyle w:val="Heading3"/>
      </w:pPr>
      <w:r>
        <w:t xml:space="preserve">Part 2 — Warm everything up (from your demo protocol's pre-recording checklist)</w:t>
      </w:r>
    </w:p>
    <w:p>
      <w:pPr>
        <w:spacing w:after="120" w:line="276"/>
      </w:pPr>
      <w:r>
        <w:t xml:space="preserve">Cold servers cause an embarrassing pause on the first click. Wake them up first:</w:t>
      </w:r>
    </w:p>
    <w:p>
      <w:pPr>
        <w:pStyle w:val="ListParagraph"/>
        <w:numPr>
          <w:ilvl w:val="0"/>
          <w:numId w:val="7"/>
        </w:numPr>
        <w:spacing w:after="80" w:line="264"/>
      </w:pPr>
      <w:r>
        <w:rPr>
          <w:b/>
          <w:bCs/>
        </w:rPr>
        <w:t xml:space="preserve">Wake the ML service: </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curl -s https://arka-ml-service.onrender.com/health &gt; /dev/null</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 wait ~30 seconds, then run it once more</w:t>
      </w:r>
    </w:p>
    <w:p>
      <w:pPr>
        <w:pStyle w:val="ListParagraph"/>
        <w:numPr>
          <w:ilvl w:val="0"/>
          <w:numId w:val="7"/>
        </w:numPr>
        <w:spacing w:after="80" w:line="264"/>
      </w:pPr>
      <w:r>
        <w:rPr>
          <w:b/>
          <w:bCs/>
        </w:rPr>
        <w:t xml:space="preserve">Wake the CDS Hooks endpoint </w:t>
      </w:r>
      <w:r>
        <w:t xml:space="preserve">by sending it one test request (any sample payload) so Vercel's serverless function is warm.</w:t>
      </w:r>
    </w:p>
    <w:p>
      <w:pPr>
        <w:pStyle w:val="ListParagraph"/>
        <w:numPr>
          <w:ilvl w:val="0"/>
          <w:numId w:val="7"/>
        </w:numPr>
        <w:spacing w:after="80" w:line="264"/>
      </w:pPr>
      <w:r>
        <w:rPr>
          <w:b/>
          <w:bCs/>
        </w:rPr>
        <w:t xml:space="preserve">Make sure the sandbox knows about your services. </w:t>
      </w:r>
      <w:r>
        <w:t xml:space="preserve">Open </w:t>
      </w:r>
      <w:hyperlink w:history="1" r:id="rIdkfpf-jr9t5jf2ik5i7nzk">
        <w:r>
          <w:rPr>
            <w:rStyle w:val="Hyperlink"/>
          </w:rPr>
          <w:t xml:space="preserve">https://sandbox.cds-hooks.org</w:t>
        </w:r>
      </w:hyperlink>
      <w:r>
        <w:t xml:space="preserve">, click the gear icon → CDS Services. If ARKA's services aren't listed, click “Add CDS Service” and paste your discovery URL:</w:t>
      </w:r>
    </w:p>
    <w:p>
      <w:pPr>
        <w:pBdr>
          <w:left w:val="single" w:color="2E75B6" w:sz="18" w:space="4"/>
        </w:pBdr>
        <w:shd w:fill="1E1E1E" w:val="clear"/>
        <w:spacing w:after="120" w:before="80" w:line="264"/>
      </w:pPr>
      <w:r>
        <w:rPr>
          <w:rFonts w:ascii="Consolas" w:cs="Consolas" w:eastAsia="Consolas" w:hAnsi="Consolas"/>
          <w:color w:val="D4D4D4"/>
          <w:sz w:val="18"/>
          <w:szCs w:val="18"/>
        </w:rPr>
        <w:t xml:space="preserve">https://arkahealth.vercel.app/.well-known/cds-services</w:t>
      </w:r>
    </w:p>
    <w:p>
      <w:pPr>
        <w:spacing w:after="120" w:line="276"/>
      </w:pPr>
      <w:r>
        <w:t xml:space="preserve">Refresh; all five ARKA services should appear in the “Select a Service” dropdown. (This is exactly the procedure in your </w:t>
      </w:r>
      <w:r>
        <w:rPr>
          <w:rFonts w:ascii="Consolas" w:cs="Consolas" w:eastAsia="Consolas" w:hAnsi="Consolas"/>
          <w:sz w:val="19"/>
          <w:szCs w:val="19"/>
        </w:rPr>
        <w:t xml:space="preserve">docs/CDS_SANDBOX_REGISTRATION.md</w:t>
      </w:r>
      <w:r>
        <w:t xml:space="preserve">.)</w:t>
      </w:r>
    </w:p>
    <w:p>
      <w:pPr>
        <w:pStyle w:val="Heading3"/>
      </w:pPr>
      <w:r>
        <w:t xml:space="preserve">Part 3 — Clean up the screen (from the protocol)</w:t>
      </w:r>
    </w:p>
    <w:p>
      <w:pPr>
        <w:pStyle w:val="ListParagraph"/>
        <w:numPr>
          <w:ilvl w:val="0"/>
          <w:numId w:val="8"/>
        </w:numPr>
        <w:spacing w:after="60" w:line="264"/>
      </w:pPr>
      <w:r>
        <w:t xml:space="preserve">Turn on Do Not Disturb. Quit Slack/email. Silence all notifications — no badges in the tab bar.</w:t>
      </w:r>
    </w:p>
    <w:p>
      <w:pPr>
        <w:pStyle w:val="ListParagraph"/>
        <w:numPr>
          <w:ilvl w:val="0"/>
          <w:numId w:val="8"/>
        </w:numPr>
        <w:spacing w:after="60" w:line="264"/>
      </w:pPr>
      <w:r>
        <w:t xml:space="preserve">Use a clean Chrome window at ~1440 wide, no extra extensions visible, no bookmark bar.</w:t>
      </w:r>
    </w:p>
    <w:p>
      <w:pPr>
        <w:pStyle w:val="ListParagraph"/>
        <w:numPr>
          <w:ilvl w:val="0"/>
          <w:numId w:val="8"/>
        </w:numPr>
        <w:spacing w:after="60" w:line="264"/>
      </w:pPr>
      <w:r>
        <w:t xml:space="preserve">Open your tabs in advance: the sandbox, your /cds-hooks-demo page, and your /cds-hooks-demo/validation page.</w:t>
      </w:r>
    </w:p>
    <w:p>
      <w:pPr>
        <w:pStyle w:val="ListParagraph"/>
        <w:numPr>
          <w:ilvl w:val="0"/>
          <w:numId w:val="8"/>
        </w:numPr>
        <w:spacing w:after="60" w:line="264"/>
      </w:pPr>
      <w:r>
        <w:t xml:space="preserve">Turn on cursor highlighting if you have it (Loom has a click-focus option) so viewers' eyes follow your clicks.</w:t>
      </w:r>
    </w:p>
    <w:p>
      <w:pPr>
        <w:pStyle w:val="Heading3"/>
      </w:pPr>
      <w:r>
        <w:t xml:space="preserve">Part 4 — Record (aim for 2–4 minutes)</w:t>
      </w:r>
    </w:p>
    <w:p>
      <w:pPr>
        <w:spacing w:after="120" w:line="276"/>
      </w:pPr>
      <w:r>
        <w:t xml:space="preserve">Hit record in Loom, then walk through this sequence, narrating plainly what is happening:</w:t>
      </w:r>
    </w:p>
    <w:p>
      <w:pPr>
        <w:pStyle w:val="ListParagraph"/>
        <w:numPr>
          <w:ilvl w:val="0"/>
          <w:numId w:val="9"/>
        </w:numPr>
        <w:spacing w:after="80" w:line="264"/>
      </w:pPr>
      <w:r>
        <w:rPr>
          <w:b/>
          <w:bCs/>
        </w:rPr>
        <w:t xml:space="preserve">Show the registration. </w:t>
      </w:r>
      <w:r>
        <w:t xml:space="preserve">In the sandbox, open the CDS Services list and point out ARKA's five registered services. Say the discovery URL out loud.</w:t>
      </w:r>
    </w:p>
    <w:p>
      <w:pPr>
        <w:pStyle w:val="ListParagraph"/>
        <w:numPr>
          <w:ilvl w:val="0"/>
          <w:numId w:val="9"/>
        </w:numPr>
        <w:spacing w:after="80" w:line="264"/>
      </w:pPr>
      <w:r>
        <w:rPr>
          <w:b/>
          <w:bCs/>
        </w:rPr>
        <w:t xml:space="preserve">Fire a CLIN card (Beat 6). </w:t>
      </w:r>
      <w:r>
        <w:t xml:space="preserve">Select </w:t>
      </w:r>
      <w:r>
        <w:rPr>
          <w:rFonts w:ascii="Consolas" w:cs="Consolas" w:eastAsia="Consolas" w:hAnsi="Consolas"/>
          <w:sz w:val="19"/>
          <w:szCs w:val="19"/>
        </w:rPr>
        <w:t xml:space="preserve">arka-clin-appropriateness</w:t>
      </w:r>
      <w:r>
        <w:t xml:space="preserve">, go to the imaging scenario (the PAMA imaging tab / your low-back-pain “LBP-1” scenario), and trigger the order-select. Let the card appear. Pause two seconds so it's clearly captured.</w:t>
      </w:r>
    </w:p>
    <w:p>
      <w:pPr>
        <w:pStyle w:val="ListParagraph"/>
        <w:numPr>
          <w:ilvl w:val="0"/>
          <w:numId w:val="9"/>
        </w:numPr>
        <w:spacing w:after="80" w:line="264"/>
      </w:pPr>
      <w:r>
        <w:rPr>
          <w:b/>
          <w:bCs/>
        </w:rPr>
        <w:t xml:space="preserve">Show the substance of the card. </w:t>
      </w:r>
      <w:r>
        <w:t xml:space="preserve">Point out that the card includes a clinical rationale and citation links, and the SHAP factors with their rationale paragraphs — this is what makes it a transparent, Non-Device CDS recommendation rather than a black box.</w:t>
      </w:r>
    </w:p>
    <w:p>
      <w:pPr>
        <w:pStyle w:val="ListParagraph"/>
        <w:numPr>
          <w:ilvl w:val="0"/>
          <w:numId w:val="9"/>
        </w:numPr>
        <w:spacing w:after="80" w:line="264"/>
      </w:pPr>
      <w:r>
        <w:rPr>
          <w:b/>
          <w:bCs/>
        </w:rPr>
        <w:t xml:space="preserve">Show order-sign evidence. </w:t>
      </w:r>
      <w:r>
        <w:t xml:space="preserve">The sandbox doesn't expose an order-sign workflow for imaging, so switch to your </w:t>
      </w:r>
      <w:r>
        <w:rPr>
          <w:rFonts w:ascii="Consolas" w:cs="Consolas" w:eastAsia="Consolas" w:hAnsi="Consolas"/>
          <w:sz w:val="19"/>
          <w:szCs w:val="19"/>
        </w:rPr>
        <w:t xml:space="preserve">/cds-hooks-demo</w:t>
      </w:r>
      <w:r>
        <w:t xml:space="preserve"> page to show the order-sign card (this mirrors your existing lbp-1 order-sign screenshot evidence).</w:t>
      </w:r>
    </w:p>
    <w:p>
      <w:pPr>
        <w:pStyle w:val="ListParagraph"/>
        <w:numPr>
          <w:ilvl w:val="0"/>
          <w:numId w:val="9"/>
        </w:numPr>
        <w:spacing w:after="80" w:line="264"/>
      </w:pPr>
      <w:r>
        <w:rPr>
          <w:b/>
          <w:bCs/>
        </w:rPr>
        <w:t xml:space="preserve">Show the receipts (Beat 7). </w:t>
      </w:r>
      <w:r>
        <w:t xml:space="preserve">Open </w:t>
      </w:r>
      <w:r>
        <w:rPr>
          <w:rFonts w:ascii="Consolas" w:cs="Consolas" w:eastAsia="Consolas" w:hAnsi="Consolas"/>
          <w:sz w:val="19"/>
          <w:szCs w:val="19"/>
        </w:rPr>
        <w:t xml:space="preserve">/cds-hooks-demo/validation</w:t>
      </w:r>
      <w:r>
        <w:t xml:space="preserve"> and show the validation dashboard. State the honest numbers exactly as they render — “74% three-class accuracy on the synthetic ACR-aligned cohort, real-world AUC pending pilot data.” Do not round up or embellish; the honesty is the point of evidence.</w:t>
      </w:r>
    </w:p>
    <w:p>
      <w:pPr>
        <w:pStyle w:val="ListParagraph"/>
        <w:numPr>
          <w:ilvl w:val="0"/>
          <w:numId w:val="9"/>
        </w:numPr>
        <w:spacing w:after="80" w:line="264"/>
      </w:pPr>
      <w:r>
        <w:rPr>
          <w:b/>
          <w:bCs/>
        </w:rPr>
        <w:t xml:space="preserve">Stop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18"/>
              <w:bottom w:val="single" w:color="E0A030" w:sz="4"/>
              <w:right w:val="single" w:color="E0A030" w:sz="4"/>
            </w:tcBorders>
            <w:shd w:fill="FFF4E0" w:val="clear"/>
            <w:tcMar>
              <w:top w:type="dxa" w:w="120"/>
              <w:left w:type="dxa" w:w="160"/>
              <w:bottom w:type="dxa" w:w="120"/>
              <w:right w:type="dxa" w:w="160"/>
            </w:tcMar>
          </w:tcPr>
          <w:p>
            <w:pPr>
              <w:spacing w:after="60"/>
            </w:pPr>
            <w:r>
              <w:rPr>
                <w:b/>
                <w:bCs/>
                <w:color w:val="E0A030"/>
                <w:sz w:val="21"/>
                <w:szCs w:val="21"/>
              </w:rPr>
              <w:t xml:space="preserve">IMPORTANT</w:t>
            </w:r>
          </w:p>
          <w:p>
            <w:pPr>
              <w:spacing w:after="40" w:line="264"/>
            </w:pPr>
            <w:r>
              <w:rPr>
                <w:sz w:val="21"/>
                <w:szCs w:val="21"/>
              </w:rPr>
              <w:t xml:space="preserve">Keep the numbers truthful and match what's on screen. This clip may end up in front of FDA reviewers and technical diligence — an inflated metric here is far more damaging than a modest true one. Your demo script flags this too: never present a modeled figure as a measured result.</w:t>
            </w:r>
          </w:p>
        </w:tc>
      </w:tr>
    </w:tbl>
    <w:p>
      <w:pPr>
        <w:pStyle w:val="Heading3"/>
      </w:pPr>
      <w:r>
        <w:t xml:space="preserve">Part 5 — Save the link where Phase 10 expects it</w:t>
      </w:r>
    </w:p>
    <w:p>
      <w:pPr>
        <w:pStyle w:val="ListParagraph"/>
        <w:numPr>
          <w:ilvl w:val="0"/>
          <w:numId w:val="10"/>
        </w:numPr>
        <w:spacing w:after="80" w:line="264"/>
      </w:pPr>
      <w:r>
        <w:rPr>
          <w:b/>
          <w:bCs/>
        </w:rPr>
        <w:t xml:space="preserve">Get the share link. </w:t>
      </w:r>
      <w:r>
        <w:t xml:space="preserve">In Loom, open the video → Share → copy the link. Set its visibility to “Anyone with the link” (or your org), not fully public-searchable, unless you want it indexable.</w:t>
      </w:r>
    </w:p>
    <w:p>
      <w:pPr>
        <w:pStyle w:val="ListParagraph"/>
        <w:numPr>
          <w:ilvl w:val="0"/>
          <w:numId w:val="10"/>
        </w:numPr>
        <w:spacing w:after="80" w:line="264"/>
      </w:pPr>
      <w:r>
        <w:rPr>
          <w:b/>
          <w:bCs/>
        </w:rPr>
        <w:t xml:space="preserve">Commit the URL to the repo. </w:t>
      </w:r>
      <w:r>
        <w:t xml:space="preserve">Create the evidence file your memo references and paste the link in:</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cd ~/Desktop/arkahealth</w:t>
      </w:r>
    </w:p>
    <w:p>
      <w:pPr>
        <w:pBdr>
          <w:left w:val="single" w:color="2E75B6" w:sz="18" w:space="4"/>
        </w:pBdr>
        <w:shd w:fill="1E1E1E" w:val="clear"/>
        <w:spacing w:after="0" w:before="0" w:line="264"/>
      </w:pPr>
      <w:r>
        <w:rPr>
          <w:rFonts w:ascii="Consolas" w:cs="Consolas" w:eastAsia="Consolas" w:hAnsi="Consolas"/>
          <w:color w:val="D4D4D4"/>
          <w:sz w:val="18"/>
          <w:szCs w:val="18"/>
        </w:rPr>
        <w:t xml:space="preserve">mkdir -p docs/regulatory-evidence</w:t>
      </w:r>
    </w:p>
    <w:p>
      <w:pPr>
        <w:pBdr>
          <w:left w:val="single" w:color="2E75B6" w:sz="18" w:space="4"/>
        </w:pBdr>
        <w:shd w:fill="1E1E1E" w:val="clear"/>
        <w:spacing w:after="0" w:before="0" w:line="264"/>
      </w:pPr>
      <w:r>
        <w:rPr>
          <w:rFonts w:ascii="Consolas" w:cs="Consolas" w:eastAsia="Consolas" w:hAnsi="Consolas"/>
          <w:color w:val="D4D4D4"/>
          <w:sz w:val="18"/>
          <w:szCs w:val="18"/>
        </w:rPr>
        <w:t xml:space="preserve">echo "https://www.loom.com/share/YOUR-VIDEO-ID" &gt; docs/regulatory-evidence/sandbox-loom-url.txt</w:t>
      </w:r>
    </w:p>
    <w:p>
      <w:pPr>
        <w:pBdr>
          <w:left w:val="single" w:color="2E75B6" w:sz="18" w:space="4"/>
        </w:pBdr>
        <w:shd w:fill="1E1E1E" w:val="clear"/>
        <w:spacing w:after="0" w:before="0" w:line="264"/>
      </w:pPr>
      <w:r>
        <w:rPr>
          <w:rFonts w:ascii="Consolas" w:cs="Consolas" w:eastAsia="Consolas" w:hAnsi="Consolas"/>
          <w:color w:val="D4D4D4"/>
          <w:sz w:val="18"/>
          <w:szCs w:val="18"/>
        </w:rPr>
        <w:t xml:space="preserve">git add docs/regulatory-evidence/sandbox-loom-url.txt</w:t>
      </w:r>
    </w:p>
    <w:p>
      <w:pPr>
        <w:pBdr>
          <w:left w:val="single" w:color="2E75B6" w:sz="18" w:space="4"/>
        </w:pBdr>
        <w:shd w:fill="1E1E1E" w:val="clear"/>
        <w:spacing w:after="0" w:before="0" w:line="264"/>
      </w:pPr>
      <w:r>
        <w:rPr>
          <w:rFonts w:ascii="Consolas" w:cs="Consolas" w:eastAsia="Consolas" w:hAnsi="Consolas"/>
          <w:color w:val="D4D4D4"/>
          <w:sz w:val="18"/>
          <w:szCs w:val="18"/>
        </w:rPr>
        <w:t xml:space="preserve">git commit -m "Add Phase 10 sandbox demo Loom URL"</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git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8"/>
              <w:bottom w:val="single" w:color="4CAF50" w:sz="4"/>
              <w:right w:val="single" w:color="4CAF50" w:sz="4"/>
            </w:tcBorders>
            <w:shd w:fill="E8F5E9" w:val="clear"/>
            <w:tcMar>
              <w:top w:type="dxa" w:w="120"/>
              <w:left w:type="dxa" w:w="160"/>
              <w:bottom w:type="dxa" w:w="120"/>
              <w:right w:type="dxa" w:w="160"/>
            </w:tcMar>
          </w:tcPr>
          <w:p>
            <w:pPr>
              <w:spacing w:after="60"/>
            </w:pPr>
            <w:r>
              <w:rPr>
                <w:b/>
                <w:bCs/>
                <w:color w:val="4CAF50"/>
                <w:sz w:val="21"/>
                <w:szCs w:val="21"/>
              </w:rPr>
              <w:t xml:space="preserve">BOTTOM LINE</w:t>
            </w:r>
          </w:p>
          <w:p>
            <w:pPr>
              <w:spacing w:after="40" w:line="264"/>
            </w:pPr>
            <w:r>
              <w:rPr>
                <w:sz w:val="21"/>
                <w:szCs w:val="21"/>
              </w:rPr>
              <w:t xml:space="preserve">Verdict for Task 3: the Loom is your Phase 10 evidence artifact — a short, honest screen recording proving ARKA's CDS Hooks cards render live in the official sandbox with rationale and citations. Use the demo protocol's pre-recording checklist and Beats 6–7 as your guide, keep it 2–4 minutes, and save the link to docs/regulatory-evidence/sandbox-loom-url.txt. Bonus: it doubles as a proof clip for investor emails.</w:t>
            </w:r>
          </w:p>
        </w:tc>
      </w:tr>
    </w:tbl>
    <w:p>
      <w:r>
        <w:br w:type="page"/>
      </w:r>
    </w:p>
    <w:p>
      <w:pPr>
        <w:pStyle w:val="Heading1"/>
      </w:pPr>
      <w:r>
        <w:t xml:space="preserve">Task 4 — File the free FDA Pre-Submission (Q-Sub)</w:t>
      </w:r>
    </w:p>
    <w:p>
      <w:pPr>
        <w:pStyle w:val="Heading2"/>
      </w:pPr>
      <w:r>
        <w:t xml:space="preserve">What this is, in plain language</w:t>
      </w:r>
    </w:p>
    <w:p>
      <w:pPr>
        <w:spacing w:after="120" w:line="276"/>
      </w:pPr>
      <w:r>
        <w:t xml:space="preserve">The “free FDA non-device checking place” you're thinking of is the FDA's </w:t>
      </w:r>
      <w:r>
        <w:rPr>
          <w:b/>
          <w:bCs/>
        </w:rPr>
        <w:t xml:space="preserve">Q-Submission Program — specifically a “Pre-Submission” (Pre-Sub)</w:t>
      </w:r>
      <w:r>
        <w:t xml:space="preserve">, run through the Center for Devices and Radiological Health (CDRH) and its Digital Health Center of Excellence. It lets you send FDA a written description of your product and a list of questions, and FDA gives you </w:t>
      </w:r>
      <w:r>
        <w:rPr>
          <w:b/>
          <w:bCs/>
        </w:rPr>
        <w:t xml:space="preserve">written feedback plus an optional meeting</w:t>
      </w:r>
      <w:r>
        <w:t xml:space="preserve">. It is </w:t>
      </w:r>
      <w:r>
        <w:rPr>
          <w:b/>
          <w:bCs/>
        </w:rPr>
        <w:t xml:space="preserve">voluntary, has no user fees (genuinely free)</w:t>
      </w:r>
      <w:r>
        <w:t xml:space="preserve">, and the typical timeline is </w:t>
      </w:r>
      <w:r>
        <w:rPr>
          <w:b/>
          <w:bCs/>
        </w:rPr>
        <w:t xml:space="preserve">about 75–90 days</w:t>
      </w:r>
      <w:r>
        <w:t xml:space="preserve"> to the meeting — which matches the “about two months” you had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18"/>
              <w:bottom w:val="single" w:color="E0A030" w:sz="4"/>
              <w:right w:val="single" w:color="E0A030" w:sz="4"/>
            </w:tcBorders>
            <w:shd w:fill="FFF4E0" w:val="clear"/>
            <w:tcMar>
              <w:top w:type="dxa" w:w="120"/>
              <w:left w:type="dxa" w:w="160"/>
              <w:bottom w:type="dxa" w:w="120"/>
              <w:right w:type="dxa" w:w="160"/>
            </w:tcMar>
          </w:tcPr>
          <w:p>
            <w:pPr>
              <w:spacing w:after="60"/>
            </w:pPr>
            <w:r>
              <w:rPr>
                <w:b/>
                <w:bCs/>
                <w:color w:val="E0A030"/>
                <w:sz w:val="21"/>
                <w:szCs w:val="21"/>
              </w:rPr>
              <w:t xml:space="preserve">IMPORTANT</w:t>
            </w:r>
          </w:p>
          <w:p>
            <w:pPr>
              <w:spacing w:after="40" w:line="264"/>
            </w:pPr>
            <w:r>
              <w:rPr>
                <w:sz w:val="21"/>
                <w:szCs w:val="21"/>
              </w:rPr>
              <w:t xml:space="preserve">FDA gives FEEDBACK, not APPROVAL. A Pre-Sub will tell you whether FDA agrees ARKA is a “Non-Device CDS” (and therefore doesn't need a 510(k) clearance), what they'd expect for change-control, and whether your evidence package looks sufficient. It does not produce a clearance or an endorsement, and you must never describe it as one in investor materials. Your own regulatory memo already states this correctly.</w:t>
            </w:r>
          </w:p>
        </w:tc>
      </w:tr>
    </w:tbl>
    <w:p>
      <w:pPr>
        <w:spacing w:after="120" w:line="276"/>
      </w:pPr>
      <w:r>
        <w:t xml:space="preserve">Your memo's Section 8 already drafts the plan: confirm Non-Device CDS positioning for ARKA-CLIN and ARKA-INS, ask about FDA's expectations for change-control over the rule library / feature catalogue / model weights, and ask whether the current synthetic-validation and sandbox evidence is sufficient for the stated intended use. The drafts are meant to live in </w:t>
      </w:r>
      <w:r>
        <w:rPr>
          <w:rFonts w:ascii="Consolas" w:cs="Consolas" w:eastAsia="Consolas" w:hAnsi="Consolas"/>
          <w:sz w:val="19"/>
          <w:szCs w:val="19"/>
        </w:rPr>
        <w:t xml:space="preserve">docs/regulatory/q-sub-draft/</w:t>
      </w:r>
      <w:r>
        <w:t xml:space="preserve"> — a folder that doesn't exist yet. Creating it is your first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4"/>
              <w:left w:val="single" w:color="D93025" w:sz="18"/>
              <w:bottom w:val="single" w:color="D93025" w:sz="4"/>
              <w:right w:val="single" w:color="D93025" w:sz="4"/>
            </w:tcBorders>
            <w:shd w:fill="FCE8E6" w:val="clear"/>
            <w:tcMar>
              <w:top w:type="dxa" w:w="120"/>
              <w:left w:type="dxa" w:w="160"/>
              <w:bottom w:type="dxa" w:w="120"/>
              <w:right w:type="dxa" w:w="160"/>
            </w:tcMar>
          </w:tcPr>
          <w:p>
            <w:pPr>
              <w:spacing w:after="60"/>
            </w:pPr>
            <w:r>
              <w:rPr>
                <w:b/>
                <w:bCs/>
                <w:color w:val="D93025"/>
                <w:sz w:val="21"/>
                <w:szCs w:val="21"/>
              </w:rPr>
              <w:t xml:space="preserve">DO THIS FIRST</w:t>
            </w:r>
          </w:p>
          <w:p>
            <w:pPr>
              <w:spacing w:after="40" w:line="264"/>
            </w:pPr>
            <w:r>
              <w:rPr>
                <w:sz w:val="21"/>
                <w:szCs w:val="21"/>
              </w:rPr>
              <w:t xml:space="preserve">This is the one task to NOT rush solo. A Pre-Sub is your first formal contact with FDA, and how you frame “intended use” and the Non-Device CDS argument has lasting consequences. Strongly consider having a regulatory consultant (or a regulatory-savvy advisor) review the package before you submit. Your memo lists both a clinical lead and a regulatory consultant as “pending engagement” — ideally line at least one of them up first. Nothing in this guide is legal or regulatory advice.</w:t>
            </w:r>
          </w:p>
        </w:tc>
      </w:tr>
    </w:tbl>
    <w:p>
      <w:pPr>
        <w:pStyle w:val="Heading2"/>
      </w:pPr>
      <w:r>
        <w:t xml:space="preserve">Step-by-step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Stage</w:t>
            </w:r>
          </w:p>
        </w:tc>
        <w:tc>
          <w:tcPr>
            <w:tcW w:type="dxa" w:w="4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What happens</w:t>
            </w:r>
          </w:p>
        </w:tc>
        <w:tc>
          <w:tcPr>
            <w:tcW w:type="dxa" w:w="28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tcPr>
          <w:p>
            <w:r>
              <w:rPr>
                <w:b/>
                <w:bCs/>
                <w:color w:val="FFFFFF"/>
                <w:sz w:val="20"/>
                <w:szCs w:val="20"/>
              </w:rPr>
              <w:t xml:space="preserve">Roughly how long</w:t>
            </w:r>
          </w:p>
        </w:tc>
      </w:tr>
      <w:tr>
        <w:tc>
          <w:tcPr>
            <w:tcW w:type="dxa" w:w="22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1. Prepare</w:t>
            </w:r>
          </w:p>
        </w:tc>
        <w:tc>
          <w:tcPr>
            <w:tcW w:type="dxa" w:w="43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Write the package + questions; get it reviewed</w:t>
            </w:r>
          </w:p>
        </w:tc>
        <w:tc>
          <w:tcPr>
            <w:tcW w:type="dxa" w:w="28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1–3 weeks of your time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2. Register</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Create a free CDRH Portal account</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1 day</w:t>
            </w:r>
          </w:p>
        </w:tc>
      </w:tr>
      <w:tr>
        <w:tc>
          <w:tcPr>
            <w:tcW w:type="dxa" w:w="22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3. Assemble</w:t>
            </w:r>
          </w:p>
        </w:tc>
        <w:tc>
          <w:tcPr>
            <w:tcW w:type="dxa" w:w="43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Build the PreSTAR template into one PDF</w:t>
            </w:r>
          </w:p>
        </w:tc>
        <w:tc>
          <w:tcPr>
            <w:tcW w:type="dxa" w:w="28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2–4 days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4. Submit</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Upload to the CDRH Portal</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1 hour</w:t>
            </w:r>
          </w:p>
        </w:tc>
      </w:tr>
      <w:tr>
        <w:tc>
          <w:tcPr>
            <w:tcW w:type="dxa" w:w="22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5. Wait</w:t>
            </w:r>
          </w:p>
        </w:tc>
        <w:tc>
          <w:tcPr>
            <w:tcW w:type="dxa" w:w="436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FDA acknowledges, assigns, schedules</w:t>
            </w:r>
          </w:p>
        </w:tc>
        <w:tc>
          <w:tcPr>
            <w:tcW w:type="dxa" w:w="2800"/>
            <w:tcBorders>
              <w:top w:val="single" w:color="BBBBBB" w:sz="1"/>
              <w:left w:val="single" w:color="BBBBBB" w:sz="1"/>
              <w:bottom w:val="single" w:color="BBBBBB" w:sz="1"/>
              <w:right w:val="single" w:color="BBBBBB" w:sz="1"/>
            </w:tcBorders>
            <w:shd w:fill="F4F4F4" w:val="clear"/>
            <w:tcMar>
              <w:top w:type="dxa" w:w="70"/>
              <w:left w:type="dxa" w:w="120"/>
              <w:bottom w:type="dxa" w:w="70"/>
              <w:right w:type="dxa" w:w="120"/>
            </w:tcMar>
          </w:tcPr>
          <w:p>
            <w:pPr>
              <w:spacing w:after="0"/>
            </w:pPr>
            <w:r>
              <w:rPr>
                <w:sz w:val="20"/>
                <w:szCs w:val="20"/>
              </w:rPr>
              <w:t xml:space="preserve">~75–90 days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6. Meeting</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FDA sends written feedback; you meet</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pPr>
            <w:r>
              <w:rPr>
                <w:sz w:val="20"/>
                <w:szCs w:val="20"/>
              </w:rPr>
              <w:t xml:space="preserve">1 day</w:t>
            </w:r>
          </w:p>
        </w:tc>
      </w:tr>
    </w:tbl>
    <w:p>
      <w:pPr>
        <w:pStyle w:val="Heading2"/>
      </w:pPr>
      <w:r>
        <w:t xml:space="preserve">Stage 1 — Prepare the content</w:t>
      </w:r>
    </w:p>
    <w:p>
      <w:pPr>
        <w:spacing w:after="120" w:line="276"/>
      </w:pPr>
      <w:r>
        <w:t xml:space="preserve">First, create the folder your memo expects and start the drafts:</w:t>
      </w:r>
    </w:p>
    <w:p>
      <w:pPr>
        <w:pBdr>
          <w:left w:val="single" w:color="2E75B6" w:sz="18" w:space="4"/>
        </w:pBdr>
        <w:shd w:fill="1E1E1E" w:val="clear"/>
        <w:spacing w:after="0" w:before="80" w:line="264"/>
      </w:pPr>
      <w:r>
        <w:rPr>
          <w:rFonts w:ascii="Consolas" w:cs="Consolas" w:eastAsia="Consolas" w:hAnsi="Consolas"/>
          <w:color w:val="D4D4D4"/>
          <w:sz w:val="18"/>
          <w:szCs w:val="18"/>
        </w:rPr>
        <w:t xml:space="preserve">cd ~/Desktop/arkahealth</w:t>
      </w:r>
    </w:p>
    <w:p>
      <w:pPr>
        <w:pBdr>
          <w:left w:val="single" w:color="2E75B6" w:sz="18" w:space="4"/>
        </w:pBdr>
        <w:shd w:fill="1E1E1E" w:val="clear"/>
        <w:spacing w:after="120" w:before="0" w:line="264"/>
      </w:pPr>
      <w:r>
        <w:rPr>
          <w:rFonts w:ascii="Consolas" w:cs="Consolas" w:eastAsia="Consolas" w:hAnsi="Consolas"/>
          <w:color w:val="D4D4D4"/>
          <w:sz w:val="18"/>
          <w:szCs w:val="18"/>
        </w:rPr>
        <w:t xml:space="preserve">mkdir -p docs/regulatory/q-sub-draft</w:t>
      </w:r>
    </w:p>
    <w:p>
      <w:pPr>
        <w:spacing w:after="120" w:line="276"/>
      </w:pPr>
      <w:r>
        <w:t xml:space="preserve">Inside that folder, you'll write these documents. (FDA's Pre-Sub package has a standard shape — these map onto it.)</w:t>
      </w:r>
    </w:p>
    <w:p>
      <w:pPr>
        <w:pStyle w:val="ListParagraph"/>
        <w:numPr>
          <w:ilvl w:val="0"/>
          <w:numId w:val="11"/>
        </w:numPr>
        <w:spacing w:after="80" w:line="264"/>
      </w:pPr>
      <w:r>
        <w:rPr>
          <w:b/>
          <w:bCs/>
        </w:rPr>
        <w:t xml:space="preserve">Cover letter </w:t>
      </w:r>
      <w:r>
        <w:t xml:space="preserve">— who you are, that this is a Pre-Submission, and a one-paragraph summary of what you're asking.</w:t>
      </w:r>
    </w:p>
    <w:p>
      <w:pPr>
        <w:pStyle w:val="ListParagraph"/>
        <w:numPr>
          <w:ilvl w:val="0"/>
          <w:numId w:val="11"/>
        </w:numPr>
        <w:spacing w:after="80" w:line="264"/>
      </w:pPr>
      <w:r>
        <w:rPr>
          <w:b/>
          <w:bCs/>
        </w:rPr>
        <w:t xml:space="preserve">Product description </w:t>
      </w:r>
      <w:r>
        <w:t xml:space="preserve">— what ARKA-CLIN and ARKA-INS do, how the CDS Hooks integration works, and crucially that the clinician sees the rationale and citations and remains the decision-maker (the heart of the Non-Device CDS argument).</w:t>
      </w:r>
    </w:p>
    <w:p>
      <w:pPr>
        <w:pStyle w:val="ListParagraph"/>
        <w:numPr>
          <w:ilvl w:val="0"/>
          <w:numId w:val="11"/>
        </w:numPr>
        <w:spacing w:after="80" w:line="264"/>
      </w:pPr>
      <w:r>
        <w:rPr>
          <w:b/>
          <w:bCs/>
        </w:rPr>
        <w:t xml:space="preserve">Proposed intended use statement </w:t>
      </w:r>
      <w:r>
        <w:t xml:space="preserve">— one careful paragraph. This is the most important sentence in the whole package; have it reviewed.</w:t>
      </w:r>
    </w:p>
    <w:p>
      <w:pPr>
        <w:pStyle w:val="ListParagraph"/>
        <w:numPr>
          <w:ilvl w:val="0"/>
          <w:numId w:val="11"/>
        </w:numPr>
        <w:spacing w:after="80" w:line="264"/>
      </w:pPr>
      <w:r>
        <w:rPr>
          <w:b/>
          <w:bCs/>
        </w:rPr>
        <w:t xml:space="preserve">Your 3–5 specific questions </w:t>
      </w:r>
      <w:r>
        <w:t xml:space="preserve">— pulled straight from your memo Section 8. Fewer, sharper questions get better answers. For example:</w:t>
      </w:r>
    </w:p>
    <w:p>
      <w:pPr>
        <w:pStyle w:val="ListParagraph"/>
        <w:numPr>
          <w:ilvl w:val="1"/>
          <w:numId w:val="8"/>
        </w:numPr>
        <w:spacing w:after="60" w:line="264"/>
      </w:pPr>
      <w:r>
        <w:t xml:space="preserve">“Does FDA concur that ARKA-CLIN and ARKA-INS, as described, meet the criteria for Non-Device Clinical Decision Support under section 520(o)(1)(E)?”</w:t>
      </w:r>
    </w:p>
    <w:p>
      <w:pPr>
        <w:pStyle w:val="ListParagraph"/>
        <w:numPr>
          <w:ilvl w:val="1"/>
          <w:numId w:val="8"/>
        </w:numPr>
        <w:spacing w:after="60" w:line="264"/>
      </w:pPr>
      <w:r>
        <w:t xml:space="preserve">“What does FDA expect for change-control over our rule library, feature catalogue, and model weights to maintain Non-Device CDS status?”</w:t>
      </w:r>
    </w:p>
    <w:p>
      <w:pPr>
        <w:pStyle w:val="ListParagraph"/>
        <w:numPr>
          <w:ilvl w:val="1"/>
          <w:numId w:val="8"/>
        </w:numPr>
        <w:spacing w:after="60" w:line="264"/>
      </w:pPr>
      <w:r>
        <w:t xml:space="preserve">“Is our synthetic-validation and sandbox evidence package sufficient to support the stated intended use, or does FDA expect prospective clinical data?”</w:t>
      </w:r>
    </w:p>
    <w:p>
      <w:pPr>
        <w:pStyle w:val="ListParagraph"/>
        <w:numPr>
          <w:ilvl w:val="0"/>
          <w:numId w:val="11"/>
        </w:numPr>
        <w:spacing w:after="80" w:line="264"/>
      </w:pPr>
      <w:r>
        <w:rPr>
          <w:b/>
          <w:bCs/>
        </w:rPr>
        <w:t xml:space="preserve">Supporting evidence </w:t>
      </w:r>
      <w:r>
        <w:t xml:space="preserve">— attach what you already have: your REGULATORY_RATIONALE_MEMO, the MODEL_CARD from the ml-service folder, the sandbox validation report, screenshots, and the Phase 10 Loom URL from Task 3.</w:t>
      </w:r>
    </w:p>
    <w:p>
      <w:pPr>
        <w:pStyle w:val="ListParagraph"/>
        <w:numPr>
          <w:ilvl w:val="0"/>
          <w:numId w:val="11"/>
        </w:numPr>
        <w:spacing w:after="80" w:line="264"/>
      </w:pPr>
      <w:r>
        <w:rPr>
          <w:b/>
          <w:bCs/>
        </w:rPr>
        <w:t xml:space="preserve">Meeting request details </w:t>
      </w:r>
      <w:r>
        <w:t xml:space="preserve">— FDA requires: meeting type, requested format (teleconference is normal), THREE or more preferred dates/times, a draft agenda with time per item, and a list of attendees with titles/affiliations (flag any non-U.S.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20"/>
              <w:left w:type="dxa" w:w="160"/>
              <w:bottom w:type="dxa" w:w="120"/>
              <w:right w:type="dxa" w:w="160"/>
            </w:tcMar>
          </w:tcPr>
          <w:p>
            <w:pPr>
              <w:spacing w:after="60"/>
            </w:pPr>
            <w:r>
              <w:rPr>
                <w:b/>
                <w:bCs/>
                <w:color w:val="2E75B6"/>
                <w:sz w:val="21"/>
                <w:szCs w:val="21"/>
              </w:rPr>
              <w:t xml:space="preserve">NOTE</w:t>
            </w:r>
          </w:p>
          <w:p>
            <w:pPr>
              <w:spacing w:after="40" w:line="264"/>
            </w:pPr>
            <w:r>
              <w:rPr>
                <w:sz w:val="21"/>
                <w:szCs w:val="21"/>
              </w:rPr>
              <w:t xml:space="preserve">Want help drafting these? I can generate first drafts of every document above — the cover letter, the product description, the intended-use statement, and the three FDA questions — written from your existing memo and model card, and save them into docs/regulatory/q-sub-draft/. Just ask. You'd then have a real human review them before filing.</w:t>
            </w:r>
          </w:p>
        </w:tc>
      </w:tr>
    </w:tbl>
    <w:p>
      <w:pPr>
        <w:pStyle w:val="Heading2"/>
      </w:pPr>
      <w:r>
        <w:t xml:space="preserve">Stage 2 — Register for the CDRH Portal</w:t>
      </w:r>
    </w:p>
    <w:p>
      <w:pPr>
        <w:pStyle w:val="ListParagraph"/>
        <w:numPr>
          <w:ilvl w:val="0"/>
          <w:numId w:val="12"/>
        </w:numPr>
        <w:spacing w:after="80" w:line="264"/>
      </w:pPr>
      <w:r>
        <w:t xml:space="preserve">Go to the FDA CDRH Customer Collaboration Portal (the “CDRH Portal”) and create an account. Start from the FDA page: </w:t>
      </w:r>
    </w:p>
    <w:p>
      <w:pPr>
        <w:spacing w:after="120" w:line="276"/>
      </w:pPr>
      <w:r>
        <w:t xml:space="preserve">       </w:t>
      </w:r>
      <w:hyperlink w:history="1" r:id="rIdeuqavrfqcqc4i8dapg-kx">
        <w:r>
          <w:rPr>
            <w:rStyle w:val="Hyperlink"/>
          </w:rPr>
          <w:t xml:space="preserve">https://www.fda.gov/medical-devices/industry-medical-devices/send-and-track-medical-device-premarket-submissions-online-cdrh-portal</w:t>
        </w:r>
      </w:hyperlink>
    </w:p>
    <w:p>
      <w:pPr>
        <w:pStyle w:val="ListParagraph"/>
        <w:numPr>
          <w:ilvl w:val="0"/>
          <w:numId w:val="12"/>
        </w:numPr>
        <w:spacing w:after="80" w:line="264"/>
      </w:pPr>
      <w:r>
        <w:t xml:space="preserve">Anyone can register. You'll verify your email and set up the account; this is how you'll upload the submission and later track its status.</w:t>
      </w:r>
    </w:p>
    <w:p>
      <w:pPr>
        <w:pStyle w:val="Heading2"/>
      </w:pPr>
      <w:r>
        <w:t xml:space="preserve">Stage 3 — Assemble the package with PreSTAR</w:t>
      </w:r>
    </w:p>
    <w:p>
      <w:pPr>
        <w:spacing w:after="120" w:line="276"/>
      </w:pPr>
      <w:r>
        <w:t xml:space="preserve">FDA provides a free fill-in-the-blanks template called </w:t>
      </w:r>
      <w:r>
        <w:rPr>
          <w:b/>
          <w:bCs/>
        </w:rPr>
        <w:t xml:space="preserve">PreSTAR</w:t>
      </w:r>
      <w:r>
        <w:t xml:space="preserve"> (the Pre-Sub version of their eSTAR templates). You fill it in and it produces a single PDF ready to upload. Download it from FDA's Q-Submission resources and follow its built-in instructions. It walks you through each required section so you don't have to format anything by hand.</w:t>
      </w:r>
    </w:p>
    <w:p>
      <w:pPr>
        <w:spacing w:after="120" w:line="276"/>
      </w:pPr>
      <w:r>
        <w:t xml:space="preserve">Q-Submission program guidance and the template are here: </w:t>
      </w:r>
    </w:p>
    <w:p>
      <w:pPr>
        <w:spacing w:after="120" w:line="276"/>
      </w:pPr>
      <w:r>
        <w:t xml:space="preserve">       </w:t>
      </w:r>
      <w:hyperlink w:history="1" r:id="rIdqukoa-3r9vhyzlgbgmjoq">
        <w:r>
          <w:rPr>
            <w:rStyle w:val="Hyperlink"/>
          </w:rPr>
          <w:t xml:space="preserve">https://www.fda.gov/regulatory-information/search-fda-guidance-documents/requests-feedback-and-meetings-medical-device-submissions-q-submission-program</w:t>
        </w:r>
      </w:hyperlink>
    </w:p>
    <w:p>
      <w:pPr>
        <w:pStyle w:val="Heading2"/>
      </w:pPr>
      <w:r>
        <w:t xml:space="preserve">Stage 4 — Submit</w:t>
      </w:r>
    </w:p>
    <w:p>
      <w:pPr>
        <w:pStyle w:val="ListParagraph"/>
        <w:numPr>
          <w:ilvl w:val="0"/>
          <w:numId w:val="13"/>
        </w:numPr>
        <w:spacing w:after="80" w:line="264"/>
      </w:pPr>
      <w:r>
        <w:t xml:space="preserve">Log in to the CDRH Portal.</w:t>
      </w:r>
    </w:p>
    <w:p>
      <w:pPr>
        <w:pStyle w:val="ListParagraph"/>
        <w:numPr>
          <w:ilvl w:val="0"/>
          <w:numId w:val="13"/>
        </w:numPr>
        <w:spacing w:after="80" w:line="264"/>
      </w:pPr>
      <w:r>
        <w:t xml:space="preserve">Start a new submission, choose the Q-Submission / Pre-Submission type, and upload your completed PreSTAR PDF plus any attachments.</w:t>
      </w:r>
    </w:p>
    <w:p>
      <w:pPr>
        <w:pStyle w:val="ListParagraph"/>
        <w:numPr>
          <w:ilvl w:val="0"/>
          <w:numId w:val="13"/>
        </w:numPr>
        <w:spacing w:after="80" w:line="264"/>
      </w:pPr>
      <w:r>
        <w:t xml:space="preserve">Submit. You'll get an acknowledgement and a tracking number.</w:t>
      </w:r>
    </w:p>
    <w:p>
      <w:pPr>
        <w:pStyle w:val="Heading2"/>
      </w:pPr>
      <w:r>
        <w:t xml:space="preserve">Stage 5 &amp; 6 — What happens next</w:t>
      </w:r>
    </w:p>
    <w:p>
      <w:pPr>
        <w:pStyle w:val="ListParagraph"/>
        <w:numPr>
          <w:ilvl w:val="0"/>
          <w:numId w:val="8"/>
        </w:numPr>
        <w:spacing w:after="60" w:line="264"/>
      </w:pPr>
      <w:r>
        <w:t xml:space="preserve">FDA acknowledges receipt and assigns a lead reviewer.</w:t>
      </w:r>
    </w:p>
    <w:p>
      <w:pPr>
        <w:pStyle w:val="ListParagraph"/>
        <w:numPr>
          <w:ilvl w:val="0"/>
          <w:numId w:val="8"/>
        </w:numPr>
        <w:spacing w:after="60" w:line="264"/>
      </w:pPr>
      <w:r>
        <w:t xml:space="preserve">They schedule your meeting and, importantly, send you WRITTEN feedback on your questions, usually a few days before the meeting date.</w:t>
      </w:r>
    </w:p>
    <w:p>
      <w:pPr>
        <w:pStyle w:val="ListParagraph"/>
        <w:numPr>
          <w:ilvl w:val="0"/>
          <w:numId w:val="8"/>
        </w:numPr>
        <w:spacing w:after="60" w:line="264"/>
      </w:pPr>
      <w:r>
        <w:t xml:space="preserve">You hold the meeting (usually a teleconference), discuss their feedback, and take careful notes — those notes become part of your regulatory record.</w:t>
      </w:r>
    </w:p>
    <w:p>
      <w:pPr>
        <w:pStyle w:val="ListParagraph"/>
        <w:numPr>
          <w:ilvl w:val="0"/>
          <w:numId w:val="8"/>
        </w:numPr>
        <w:spacing w:after="60" w:line="264"/>
      </w:pPr>
      <w:r>
        <w:t xml:space="preserve">The whole cycle is typically ~75–90 days from submission to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8"/>
              <w:bottom w:val="single" w:color="4CAF50" w:sz="4"/>
              <w:right w:val="single" w:color="4CAF50" w:sz="4"/>
            </w:tcBorders>
            <w:shd w:fill="E8F5E9" w:val="clear"/>
            <w:tcMar>
              <w:top w:type="dxa" w:w="120"/>
              <w:left w:type="dxa" w:w="160"/>
              <w:bottom w:type="dxa" w:w="120"/>
              <w:right w:type="dxa" w:w="160"/>
            </w:tcMar>
          </w:tcPr>
          <w:p>
            <w:pPr>
              <w:spacing w:after="60"/>
            </w:pPr>
            <w:r>
              <w:rPr>
                <w:b/>
                <w:bCs/>
                <w:color w:val="4CAF50"/>
                <w:sz w:val="21"/>
                <w:szCs w:val="21"/>
              </w:rPr>
              <w:t xml:space="preserve">BOTTOM LINE</w:t>
            </w:r>
          </w:p>
          <w:p>
            <w:pPr>
              <w:spacing w:after="40" w:line="264"/>
            </w:pPr>
            <w:r>
              <w:rPr>
                <w:sz w:val="21"/>
                <w:szCs w:val="21"/>
              </w:rPr>
              <w:t xml:space="preserve">Verdict for Task 4: this is the FDA Pre-Submission (Q-Sub) — free, feedback-not-approval, ~75–90 days. Your fastest path: (1) create docs/regulatory/q-sub-draft/ and write the cover letter, product description, intended-use statement, and 3 questions from your memo Section 8; (2) get a regulatory-savvy person to review them; (3) register on the CDRH Portal; (4) fill the free PreSTAR template into one PDF; (5) upload and submit. Because the timeline is months, you can start the prep now and submit in parallel with your investor outreach. Offer stands to draft those documents for you.</w:t>
            </w:r>
          </w:p>
        </w:tc>
      </w:tr>
    </w:tbl>
    <w:p>
      <w:pPr>
        <w:spacing w:after="80"/>
      </w:pPr>
      <w:r>
        <w:t xml:space="preserve"> </w:t>
      </w:r>
    </w:p>
    <w:p>
      <w:pPr>
        <w:spacing w:after="120" w:line="276"/>
      </w:pPr>
      <w:r>
        <w:rPr>
          <w:b/>
          <w:bCs/>
        </w:rPr>
        <w:t xml:space="preserve">FDA reference links (official):</w:t>
      </w:r>
    </w:p>
    <w:p>
      <w:pPr>
        <w:pStyle w:val="ListParagraph"/>
        <w:numPr>
          <w:ilvl w:val="0"/>
          <w:numId w:val="8"/>
        </w:numPr>
        <w:spacing w:after="60" w:line="264"/>
      </w:pPr>
      <w:hyperlink w:history="1" r:id="rIdt-ikahf4llah7ghqtvysk">
        <w:r>
          <w:rPr>
            <w:rStyle w:val="Hyperlink"/>
          </w:rPr>
          <w:t xml:space="preserve">Q-Submission Program guidance</w:t>
        </w:r>
      </w:hyperlink>
    </w:p>
    <w:p>
      <w:pPr>
        <w:pStyle w:val="ListParagraph"/>
        <w:numPr>
          <w:ilvl w:val="0"/>
          <w:numId w:val="8"/>
        </w:numPr>
        <w:spacing w:after="60" w:line="264"/>
      </w:pPr>
      <w:hyperlink w:history="1" r:id="rId1nrj0dwt6nspixqe8chka">
        <w:r>
          <w:rPr>
            <w:rStyle w:val="Hyperlink"/>
          </w:rPr>
          <w:t xml:space="preserve">CDRH Customer Collaboration Portal (how to submit online)</w:t>
        </w:r>
      </w:hyperlink>
    </w:p>
    <w:p>
      <w:pPr>
        <w:pStyle w:val="ListParagraph"/>
        <w:numPr>
          <w:ilvl w:val="0"/>
          <w:numId w:val="8"/>
        </w:numPr>
        <w:spacing w:after="60" w:line="264"/>
      </w:pPr>
      <w:hyperlink w:history="1" r:id="rIdi0silfpywo8bg0k7kbbtd">
        <w:r>
          <w:rPr>
            <w:rStyle w:val="Hyperlink"/>
          </w:rPr>
          <w:t xml:space="preserve">eSTAR / PreSTAR program</w:t>
        </w:r>
      </w:hyperlink>
    </w:p>
    <w:p>
      <w:pPr>
        <w:pStyle w:val="ListParagraph"/>
        <w:numPr>
          <w:ilvl w:val="0"/>
          <w:numId w:val="8"/>
        </w:numPr>
        <w:spacing w:after="60" w:line="264"/>
      </w:pPr>
      <w:hyperlink w:history="1" r:id="rIdo-lzscdv1gi8h8h071wqw">
        <w:r>
          <w:rPr>
            <w:rStyle w:val="Hyperlink"/>
          </w:rPr>
          <w:t xml:space="preserve">The Pre-Submission Program and Meetings with FDA Staff (PDF)</w:t>
        </w:r>
      </w:hyperlink>
    </w:p>
    <w:p>
      <w:r>
        <w:br w:type="page"/>
      </w:r>
    </w:p>
    <w:p>
      <w:pPr>
        <w:pStyle w:val="Heading1"/>
      </w:pPr>
      <w:r>
        <w:t xml:space="preserve">Your one-page action plan</w:t>
      </w:r>
    </w:p>
    <w:p>
      <w:pPr>
        <w:spacing w:after="120" w:line="276"/>
      </w:pPr>
      <w:r>
        <w:t xml:space="preserve">If you do nothing else, do these, in this order:</w:t>
      </w:r>
    </w:p>
    <w:p>
      <w:pPr>
        <w:pStyle w:val="ListParagraph"/>
        <w:numPr>
          <w:ilvl w:val="0"/>
          <w:numId w:val="14"/>
        </w:numPr>
        <w:spacing w:after="80" w:line="264"/>
      </w:pPr>
      <w:r>
        <w:rPr>
          <w:b/>
          <w:bCs/>
        </w:rPr>
        <w:t xml:space="preserve">This week (security first): </w:t>
      </w:r>
      <w:r>
        <w:t xml:space="preserve">Run the secret scans (Task 2, Step A), rotate anything that turns up, then flip the GitHub repo to Private. Turn on 2FA, secret scanning, and branch protection. Run npm audit.</w:t>
      </w:r>
    </w:p>
    <w:p>
      <w:pPr>
        <w:pStyle w:val="ListParagraph"/>
        <w:numPr>
          <w:ilvl w:val="0"/>
          <w:numId w:val="14"/>
        </w:numPr>
        <w:spacing w:after="80" w:line="264"/>
      </w:pPr>
      <w:r>
        <w:rPr>
          <w:b/>
          <w:bCs/>
        </w:rPr>
        <w:t xml:space="preserve">Before your demo: </w:t>
      </w:r>
      <w:r>
        <w:t xml:space="preserve">Decide your Supabase plan (Task 1). For the strongest pitch, connect + seed Supabase so the INS ROI numbers are live; otherwise set DEMO_MODE=true and say so.</w:t>
      </w:r>
    </w:p>
    <w:p>
      <w:pPr>
        <w:pStyle w:val="ListParagraph"/>
        <w:numPr>
          <w:ilvl w:val="0"/>
          <w:numId w:val="14"/>
        </w:numPr>
        <w:spacing w:after="80" w:line="264"/>
      </w:pPr>
      <w:r>
        <w:rPr>
          <w:b/>
          <w:bCs/>
        </w:rPr>
        <w:t xml:space="preserve">This month: </w:t>
      </w:r>
      <w:r>
        <w:t xml:space="preserve">Record the Phase 10 evidence Loom (Task 3), keep it honest, and save the link to docs/regulatory-evidence/sandbox-loom-url.txt.</w:t>
      </w:r>
    </w:p>
    <w:p>
      <w:pPr>
        <w:pStyle w:val="ListParagraph"/>
        <w:numPr>
          <w:ilvl w:val="0"/>
          <w:numId w:val="14"/>
        </w:numPr>
        <w:spacing w:after="80" w:line="264"/>
      </w:pPr>
      <w:r>
        <w:rPr>
          <w:b/>
          <w:bCs/>
        </w:rPr>
        <w:t xml:space="preserve">Start now, finish over ~3 months: </w:t>
      </w:r>
      <w:r>
        <w:t xml:space="preserve">Begin the FDA Pre-Sub prep (Task 4): create the q-sub-draft folder, draft the questions from memo Section 8, get them reviewed, then submit via the CDRH Portal.</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1F8" w:val="clear"/>
            <w:tcMar>
              <w:top w:type="dxa" w:w="120"/>
              <w:left w:type="dxa" w:w="160"/>
              <w:bottom w:type="dxa" w:w="120"/>
              <w:right w:type="dxa" w:w="160"/>
            </w:tcMar>
          </w:tcPr>
          <w:p>
            <w:pPr>
              <w:spacing w:after="60"/>
            </w:pPr>
            <w:r>
              <w:rPr>
                <w:b/>
                <w:bCs/>
                <w:color w:val="2E75B6"/>
                <w:sz w:val="21"/>
                <w:szCs w:val="21"/>
              </w:rPr>
              <w:t xml:space="preserve">WANT ME TO DO THE NEXT STEP WITH YOU?</w:t>
            </w:r>
          </w:p>
          <w:p>
            <w:pPr>
              <w:spacing w:after="40" w:line="264"/>
            </w:pPr>
            <w:r>
              <w:rPr>
                <w:sz w:val="21"/>
                <w:szCs w:val="21"/>
              </w:rPr>
              <w:t xml:space="preserve">I can: draft all four FDA Pre-Sub documents into docs/regulatory/q-sub-draft/; write you the exact npm audit / gitleaks command outputs to look for; or create a printable checklist version of this guide. Just tell me which one.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color w:val="999999"/>
        <w:sz w:val="16"/>
        <w:szCs w:val="16"/>
      </w:rPr>
      <w:t xml:space="preserve">ARKA Health — Investor-Readiness Guide</w:t>
    </w:r>
    <w:r>
      <w:rPr>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9"/>
    <w:lvlOverride w:ilvl="0">
      <w:startOverride w:val="1"/>
    </w:lvlOverride>
  </w:num>
  <w:num w:numId="3">
    <w:abstractNumId w:val="11"/>
    <w:lvlOverride w:ilvl="0">
      <w:startOverride w:val="1"/>
    </w:lvlOverride>
  </w:num>
  <w:num w:numId="4">
    <w:abstractNumId w:val="14"/>
    <w:lvlOverride w:ilvl="0">
      <w:startOverride w:val="1"/>
    </w:lvlOverride>
  </w:num>
  <w:num w:numId="5">
    <w:abstractNumId w:val="15"/>
    <w:lvlOverride w:ilvl="0">
      <w:startOverride w:val="1"/>
    </w:lvlOverride>
  </w:num>
  <w:num w:numId="6">
    <w:abstractNumId w:val="20"/>
    <w:lvlOverride w:ilvl="0">
      <w:startOverride w:val="1"/>
    </w:lvlOverride>
  </w:num>
  <w:num w:numId="7">
    <w:abstractNumId w:val="21"/>
    <w:lvlOverride w:ilvl="0">
      <w:startOverride w:val="1"/>
    </w:lvlOverride>
  </w:num>
  <w:num w:numId="8">
    <w:abstractNumId w:val="2"/>
    <w:lvlOverride w:ilvl="0">
      <w:startOverride w:val="1"/>
    </w:lvlOverride>
  </w:num>
  <w:num w:numId="9">
    <w:abstractNumId w:val="23"/>
    <w:lvlOverride w:ilvl="0">
      <w:startOverride w:val="1"/>
    </w:lvlOverride>
  </w:num>
  <w:num w:numId="10">
    <w:abstractNumId w:val="24"/>
    <w:lvlOverride w:ilvl="0">
      <w:startOverride w:val="1"/>
    </w:lvlOverride>
  </w:num>
  <w:num w:numId="11">
    <w:abstractNumId w:val="28"/>
    <w:lvlOverride w:ilvl="0">
      <w:startOverride w:val="1"/>
    </w:lvlOverride>
  </w:num>
  <w:num w:numId="12">
    <w:abstractNumId w:val="29"/>
    <w:lvlOverride w:ilvl="0">
      <w:startOverride w:val="1"/>
    </w:lvlOverride>
  </w:num>
  <w:num w:numId="13">
    <w:abstractNumId w:val="31"/>
    <w:lvlOverride w:ilvl="0">
      <w:startOverride w:val="1"/>
    </w:lvlOverride>
  </w:num>
  <w:num w:numId="14">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ukzvkmx4lsh9eyofj-ph" Type="http://schemas.openxmlformats.org/officeDocument/2006/relationships/hyperlink" Target="https://supabase.com" TargetMode="External"/><Relationship Id="rIdsasnic09_j5myum4u954e" Type="http://schemas.openxmlformats.org/officeDocument/2006/relationships/hyperlink" Target="https://github.com/ArKa3003/arkahealth" TargetMode="External"/><Relationship Id="rId69z6y2zzrouewum08jp2g" Type="http://schemas.openxmlformats.org/officeDocument/2006/relationships/hyperlink" Target="https://www.loom.com" TargetMode="External"/><Relationship Id="rIdkfpf-jr9t5jf2ik5i7nzk" Type="http://schemas.openxmlformats.org/officeDocument/2006/relationships/hyperlink" Target="https://sandbox.cds-hooks.org" TargetMode="External"/><Relationship Id="rIdeuqavrfqcqc4i8dapg-kx" Type="http://schemas.openxmlformats.org/officeDocument/2006/relationships/hyperlink" Target="https://www.fda.gov/medical-devices/industry-medical-devices/send-and-track-medical-device-premarket-submissions-online-cdrh-portal" TargetMode="External"/><Relationship Id="rIdqukoa-3r9vhyzlgbgmjoq" Type="http://schemas.openxmlformats.org/officeDocument/2006/relationships/hyperlink" Target="https://www.fda.gov/regulatory-information/search-fda-guidance-documents/requests-feedback-and-meetings-medical-device-submissions-q-submission-program" TargetMode="External"/><Relationship Id="rIdt-ikahf4llah7ghqtvysk" Type="http://schemas.openxmlformats.org/officeDocument/2006/relationships/hyperlink" Target="https://www.fda.gov/regulatory-information/search-fda-guidance-documents/requests-feedback-and-meetings-medical-device-submissions-q-submission-program" TargetMode="External"/><Relationship Id="rId1nrj0dwt6nspixqe8chka" Type="http://schemas.openxmlformats.org/officeDocument/2006/relationships/hyperlink" Target="https://www.fda.gov/medical-devices/industry-medical-devices/send-and-track-medical-device-premarket-submissions-online-cdrh-portal" TargetMode="External"/><Relationship Id="rIdi0silfpywo8bg0k7kbbtd" Type="http://schemas.openxmlformats.org/officeDocument/2006/relationships/hyperlink" Target="https://www.fda.gov/medical-devices/how-study-and-market-your-device/estar-program" TargetMode="External"/><Relationship Id="rIdo-lzscdv1gi8h8h071wqw" Type="http://schemas.openxmlformats.org/officeDocument/2006/relationships/hyperlink" Target="https://www.fda.gov/media/93740/download"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ARKA Investor-Readiness Checklist</dc:title>
  <dc:creator>ARKA Health</dc:creator>
  <cp:lastModifiedBy>Un-named</cp:lastModifiedBy>
  <cp:revision>1</cp:revision>
  <dcterms:created xsi:type="dcterms:W3CDTF">2026-06-03T16:11:45.395Z</dcterms:created>
  <dcterms:modified xsi:type="dcterms:W3CDTF">2026-06-03T16:11:45.395Z</dcterms:modified>
</cp:coreProperties>
</file>

<file path=docProps/custom.xml><?xml version="1.0" encoding="utf-8"?>
<Properties xmlns="http://schemas.openxmlformats.org/officeDocument/2006/custom-properties" xmlns:vt="http://schemas.openxmlformats.org/officeDocument/2006/docPropsVTypes"/>
</file>