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INFORMATION SECURITY &amp; COMPLIANCE PROGRAM CHARTER</w:t>
      </w:r>
    </w:p>
    <w:p>
      <w:pPr>
        <w:spacing w:after="60"/>
        <w:jc w:val="center"/>
      </w:pPr>
      <w:r>
        <w:rPr>
          <w:rFonts w:ascii="Arial" w:cs="Arial" w:eastAsia="Arial" w:hAnsi="Arial"/>
          <w:i/>
          <w:iCs/>
          <w:color w:val="475569"/>
          <w:sz w:val="21"/>
          <w:szCs w:val="21"/>
        </w:rPr>
        <w:t xml:space="preserve">Establishing the privacy, security, and compliance program of ARKA Health, Inc.</w:t>
      </w:r>
    </w:p>
    <w:p>
      <w:pPr>
        <w:spacing w:after="320"/>
        <w:jc w:val="center"/>
      </w:pPr>
      <w:r>
        <w:rPr>
          <w:rFonts w:ascii="Arial" w:cs="Arial" w:eastAsia="Arial" w:hAnsi="Arial"/>
          <w:b/>
          <w:bCs/>
          <w:color w:val="0D9488"/>
          <w:spacing w:val="20"/>
          <w:sz w:val="17"/>
          <w:szCs w:val="17"/>
        </w:rPr>
        <w:t xml:space="preserve">ARKA-GOV-001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ARKA-GOV-001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 AND AUTHORITY</w:t>
      </w:r>
    </w:p>
    <w:p>
      <w:pPr>
        <w:spacing w:after="160" w:line="264"/>
        <w:jc w:val="both"/>
      </w:pPr>
      <w:r>
        <w:rPr>
          <w:rFonts w:ascii="Times New Roman" w:cs="Times New Roman" w:eastAsia="Times New Roman" w:hAnsi="Times New Roman"/>
          <w:color w:val="0F172A"/>
          <w:sz w:val="22"/>
          <w:szCs w:val="22"/>
        </w:rPr>
        <w:t xml:space="preserve">This Information Security &amp; Compliance Program Charter (this “</w:t>
      </w:r>
      <w:r>
        <w:rPr>
          <w:rFonts w:ascii="Times New Roman" w:cs="Times New Roman" w:eastAsia="Times New Roman" w:hAnsi="Times New Roman"/>
          <w:b/>
          <w:bCs/>
          <w:color w:val="0F172A"/>
          <w:sz w:val="22"/>
          <w:szCs w:val="22"/>
        </w:rPr>
        <w:t xml:space="preserve">Charter</w:t>
      </w:r>
      <w:r>
        <w:rPr>
          <w:rFonts w:ascii="Times New Roman" w:cs="Times New Roman" w:eastAsia="Times New Roman" w:hAnsi="Times New Roman"/>
          <w:color w:val="0F172A"/>
          <w:sz w:val="22"/>
          <w:szCs w:val="22"/>
        </w:rPr>
        <w:t xml:space="preserve">”) establishes the information privacy, information security, and regulatory compliance program (the “</w:t>
      </w:r>
      <w:r>
        <w:rPr>
          <w:rFonts w:ascii="Times New Roman" w:cs="Times New Roman" w:eastAsia="Times New Roman" w:hAnsi="Times New Roman"/>
          <w:b/>
          <w:bCs/>
          <w:color w:val="0F172A"/>
          <w:sz w:val="22"/>
          <w:szCs w:val="22"/>
        </w:rPr>
        <w:t xml:space="preserve">Program</w:t>
      </w:r>
      <w:r>
        <w:rPr>
          <w:rFonts w:ascii="Times New Roman" w:cs="Times New Roman" w:eastAsia="Times New Roman" w:hAnsi="Times New Roman"/>
          <w:color w:val="0F172A"/>
          <w:sz w:val="22"/>
          <w:szCs w:val="22"/>
        </w:rPr>
        <w:t xml:space="preserve">”) of ARKA Health, Inc., a Delaware corporation (“</w:t>
      </w:r>
      <w:r>
        <w:rPr>
          <w:rFonts w:ascii="Times New Roman" w:cs="Times New Roman" w:eastAsia="Times New Roman" w:hAnsi="Times New Roman"/>
          <w:b/>
          <w:bCs/>
          <w:color w:val="0F172A"/>
          <w:sz w:val="22"/>
          <w:szCs w:val="22"/>
        </w:rPr>
        <w:t xml:space="preserve">ARKA</w:t>
      </w:r>
      <w:r>
        <w:rPr>
          <w:rFonts w:ascii="Times New Roman" w:cs="Times New Roman" w:eastAsia="Times New Roman" w:hAnsi="Times New Roman"/>
          <w:color w:val="0F172A"/>
          <w:sz w:val="22"/>
          <w:szCs w:val="22"/>
        </w:rPr>
        <w:t xml:space="preserve">” or the “</w:t>
      </w:r>
      <w:r>
        <w:rPr>
          <w:rFonts w:ascii="Times New Roman" w:cs="Times New Roman" w:eastAsia="Times New Roman" w:hAnsi="Times New Roman"/>
          <w:b/>
          <w:bCs/>
          <w:color w:val="0F172A"/>
          <w:sz w:val="22"/>
          <w:szCs w:val="22"/>
        </w:rPr>
        <w:t xml:space="preserve">Company</w:t>
      </w:r>
      <w:r>
        <w:rPr>
          <w:rFonts w:ascii="Times New Roman" w:cs="Times New Roman" w:eastAsia="Times New Roman" w:hAnsi="Times New Roman"/>
          <w:color w:val="0F172A"/>
          <w:sz w:val="22"/>
          <w:szCs w:val="22"/>
        </w:rPr>
        <w:t xml:space="preserve">”). This Charter is adopted under the authority of the Company’s Board of Directors and Chief Executive Officer and constitutes the governing instrument from which each policy, plan, standard, and procedure enumerated in Section 6 derives its authority.</w:t>
      </w:r>
    </w:p>
    <w:p>
      <w:pPr>
        <w:spacing w:after="160" w:line="264"/>
        <w:jc w:val="both"/>
      </w:pPr>
      <w:r>
        <w:rPr>
          <w:rFonts w:ascii="Times New Roman" w:cs="Times New Roman" w:eastAsia="Times New Roman" w:hAnsi="Times New Roman"/>
          <w:color w:val="0F172A"/>
          <w:sz w:val="22"/>
          <w:szCs w:val="22"/>
        </w:rPr>
        <w:t xml:space="preserve">The Program is designed to satisfy, and to generate auditable evidence of conformity with: (i) the administrative simplification provisions of the Health Insurance Portability and Accountability Act of 1996, as amended by the Health Information Technology for Economic and Clinical Health Act (“</w:t>
      </w:r>
      <w:r>
        <w:rPr>
          <w:rFonts w:ascii="Times New Roman" w:cs="Times New Roman" w:eastAsia="Times New Roman" w:hAnsi="Times New Roman"/>
          <w:b/>
          <w:bCs/>
          <w:color w:val="0F172A"/>
          <w:sz w:val="22"/>
          <w:szCs w:val="22"/>
        </w:rPr>
        <w:t xml:space="preserve">HITECH</w:t>
      </w:r>
      <w:r>
        <w:rPr>
          <w:rFonts w:ascii="Times New Roman" w:cs="Times New Roman" w:eastAsia="Times New Roman" w:hAnsi="Times New Roman"/>
          <w:color w:val="0F172A"/>
          <w:sz w:val="22"/>
          <w:szCs w:val="22"/>
        </w:rPr>
        <w:t xml:space="preserve">”) and their implementing regulations at 45 C.F.R. Parts 160 and 164, including the Privacy Rule, the Security Rule, and the Breach Notification Rule (collectively, “</w:t>
      </w:r>
      <w:r>
        <w:rPr>
          <w:rFonts w:ascii="Times New Roman" w:cs="Times New Roman" w:eastAsia="Times New Roman" w:hAnsi="Times New Roman"/>
          <w:b/>
          <w:bCs/>
          <w:color w:val="0F172A"/>
          <w:sz w:val="22"/>
          <w:szCs w:val="22"/>
        </w:rPr>
        <w:t xml:space="preserve">HIPAA</w:t>
      </w:r>
      <w:r>
        <w:rPr>
          <w:rFonts w:ascii="Times New Roman" w:cs="Times New Roman" w:eastAsia="Times New Roman" w:hAnsi="Times New Roman"/>
          <w:color w:val="0F172A"/>
          <w:sz w:val="22"/>
          <w:szCs w:val="22"/>
        </w:rPr>
        <w:t xml:space="preserve">”); (ii) the Trust Services Criteria promulgated by the American Institute of Certified Public Accountants (“</w:t>
      </w:r>
      <w:r>
        <w:rPr>
          <w:rFonts w:ascii="Times New Roman" w:cs="Times New Roman" w:eastAsia="Times New Roman" w:hAnsi="Times New Roman"/>
          <w:b/>
          <w:bCs/>
          <w:color w:val="0F172A"/>
          <w:sz w:val="22"/>
          <w:szCs w:val="22"/>
        </w:rPr>
        <w:t xml:space="preserve">AICPA</w:t>
      </w:r>
      <w:r>
        <w:rPr>
          <w:rFonts w:ascii="Times New Roman" w:cs="Times New Roman" w:eastAsia="Times New Roman" w:hAnsi="Times New Roman"/>
          <w:color w:val="0F172A"/>
          <w:sz w:val="22"/>
          <w:szCs w:val="22"/>
        </w:rPr>
        <w:t xml:space="preserve">”) for SOC 2® examinations (Security, Availability, and Confidentiality categories); (iii) the HITRUST CSF® as scoped for the HITRUST Essentials, 1-Year (e1) Validated Assessment; and (iv) applicable state privacy and data-security statutes.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SCOPE</w:t>
      </w:r>
    </w:p>
    <w:p>
      <w:pPr>
        <w:spacing w:after="160" w:line="264"/>
        <w:jc w:val="both"/>
      </w:pPr>
      <w:r>
        <w:rPr>
          <w:rFonts w:ascii="Times New Roman" w:cs="Times New Roman" w:eastAsia="Times New Roman" w:hAnsi="Times New Roman"/>
          <w:color w:val="0F172A"/>
          <w:sz w:val="22"/>
          <w:szCs w:val="22"/>
        </w:rPr>
        <w:t xml:space="preserve">This Charter applies to: (a) all officers, directors, employees, and individual independent contractors of the Company (collectively, “</w:t>
      </w:r>
      <w:r>
        <w:rPr>
          <w:rFonts w:ascii="Times New Roman" w:cs="Times New Roman" w:eastAsia="Times New Roman" w:hAnsi="Times New Roman"/>
          <w:b/>
          <w:bCs/>
          <w:color w:val="0F172A"/>
          <w:sz w:val="22"/>
          <w:szCs w:val="22"/>
        </w:rPr>
        <w:t xml:space="preserve">Workforce Members</w:t>
      </w:r>
      <w:r>
        <w:rPr>
          <w:rFonts w:ascii="Times New Roman" w:cs="Times New Roman" w:eastAsia="Times New Roman" w:hAnsi="Times New Roman"/>
          <w:color w:val="0F172A"/>
          <w:sz w:val="22"/>
          <w:szCs w:val="22"/>
        </w:rPr>
        <w:t xml:space="preserve">”); (b) all information systems, applications, infrastructure, and services owned, licensed, or operated by or on behalf of the Company, including the ARKA clinical decision-support and administrative-workflow platform and its constituent modules (ARKA-CLIN, ARKA-ED, ARKA-INS, and ARKA-RURAL) (the “</w:t>
      </w:r>
      <w:r>
        <w:rPr>
          <w:rFonts w:ascii="Times New Roman" w:cs="Times New Roman" w:eastAsia="Times New Roman" w:hAnsi="Times New Roman"/>
          <w:b/>
          <w:bCs/>
          <w:color w:val="0F172A"/>
          <w:sz w:val="22"/>
          <w:szCs w:val="22"/>
        </w:rPr>
        <w:t xml:space="preserve">ARKA Platform</w:t>
      </w:r>
      <w:r>
        <w:rPr>
          <w:rFonts w:ascii="Times New Roman" w:cs="Times New Roman" w:eastAsia="Times New Roman" w:hAnsi="Times New Roman"/>
          <w:color w:val="0F172A"/>
          <w:sz w:val="22"/>
          <w:szCs w:val="22"/>
        </w:rPr>
        <w:t xml:space="preserve">”); and (c) all information created, received, maintained, processed, or transmitted by the Company, in any form or medium, including electronic Protected Health Information (“</w:t>
      </w:r>
      <w:r>
        <w:rPr>
          <w:rFonts w:ascii="Times New Roman" w:cs="Times New Roman" w:eastAsia="Times New Roman" w:hAnsi="Times New Roman"/>
          <w:b/>
          <w:bCs/>
          <w:color w:val="0F172A"/>
          <w:sz w:val="22"/>
          <w:szCs w:val="22"/>
        </w:rPr>
        <w:t xml:space="preserve">ePHI</w:t>
      </w:r>
      <w:r>
        <w:rPr>
          <w:rFonts w:ascii="Times New Roman" w:cs="Times New Roman" w:eastAsia="Times New Roman" w:hAnsi="Times New Roman"/>
          <w:color w:val="0F172A"/>
          <w:sz w:val="22"/>
          <w:szCs w:val="22"/>
        </w:rPr>
        <w:t xml:space="preserve">”) as defined at 45 C.F.R. § 160.103.</w:t>
      </w:r>
    </w:p>
    <w:p>
      <w:pPr>
        <w:spacing w:after="160" w:line="264"/>
        <w:jc w:val="both"/>
      </w:pPr>
      <w:r>
        <w:rPr>
          <w:rFonts w:ascii="Times New Roman" w:cs="Times New Roman" w:eastAsia="Times New Roman" w:hAnsi="Times New Roman"/>
          <w:i/>
          <w:iCs/>
          <w:color w:val="0F172A"/>
          <w:sz w:val="22"/>
          <w:szCs w:val="22"/>
        </w:rPr>
        <w:t xml:space="preserve">Status acknowledgment.</w:t>
      </w:r>
      <w:r>
        <w:rPr>
          <w:rFonts w:ascii="Times New Roman" w:cs="Times New Roman" w:eastAsia="Times New Roman" w:hAnsi="Times New Roman"/>
          <w:color w:val="0F172A"/>
          <w:sz w:val="22"/>
          <w:szCs w:val="22"/>
        </w:rPr>
        <w:t xml:space="preserve"> As of the Effective Date, the Company operates in a pre-commercial validation posture: the publicly accessible ARKA demonstration environment processes </w:t>
      </w:r>
      <w:r>
        <w:rPr>
          <w:rFonts w:ascii="Times New Roman" w:cs="Times New Roman" w:eastAsia="Times New Roman" w:hAnsi="Times New Roman"/>
          <w:b/>
          <w:bCs/>
          <w:color w:val="0F172A"/>
          <w:sz w:val="22"/>
          <w:szCs w:val="22"/>
        </w:rPr>
        <w:t xml:space="preserve">synthetic data only and no Protected Health Information</w:t>
      </w:r>
      <w:r>
        <w:rPr>
          <w:rFonts w:ascii="Times New Roman" w:cs="Times New Roman" w:eastAsia="Times New Roman" w:hAnsi="Times New Roman"/>
          <w:color w:val="0F172A"/>
          <w:sz w:val="22"/>
          <w:szCs w:val="22"/>
        </w:rPr>
        <w:t xml:space="preserve">, as documented in ARKA-DEMO-001. The policies constituting the Program are nonetheless adopted as presently binding obligations so that required safeguards, documentation, and evidence exist </w:t>
      </w:r>
      <w:r>
        <w:rPr>
          <w:rFonts w:ascii="Times New Roman" w:cs="Times New Roman" w:eastAsia="Times New Roman" w:hAnsi="Times New Roman"/>
          <w:b/>
          <w:bCs/>
          <w:color w:val="0F172A"/>
          <w:sz w:val="22"/>
          <w:szCs w:val="22"/>
        </w:rPr>
        <w:t xml:space="preserve">before</w:t>
      </w:r>
      <w:r>
        <w:rPr>
          <w:rFonts w:ascii="Times New Roman" w:cs="Times New Roman" w:eastAsia="Times New Roman" w:hAnsi="Times New Roman"/>
          <w:color w:val="0F172A"/>
          <w:sz w:val="22"/>
          <w:szCs w:val="22"/>
        </w:rPr>
        <w:t xml:space="preserve"> the first engagement in which the Company creates, receives, maintains, or transmits PHI in its capacity as a business associate.</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DESIGNATION OF RESPONSIBLE OFFICIALS</w:t>
      </w:r>
    </w:p>
    <w:p>
      <w:pPr>
        <w:spacing w:after="160" w:line="264"/>
        <w:jc w:val="both"/>
      </w:pPr>
      <w:r>
        <w:rPr>
          <w:rFonts w:ascii="Times New Roman" w:cs="Times New Roman" w:eastAsia="Times New Roman" w:hAnsi="Times New Roman"/>
          <w:color w:val="0F172A"/>
          <w:sz w:val="22"/>
          <w:szCs w:val="22"/>
        </w:rPr>
        <w:t xml:space="preserve">Pursuant to 45 C.F.R. § 164.530(a)(1) and § 164.308(a)(2), the Company hereby designates: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Role</w:t>
            </w:r>
          </w:p>
        </w:tc>
        <w:tc>
          <w:tcPr>
            <w:tcW w:type="dxa" w:w="3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Designee</w:t>
            </w:r>
          </w:p>
        </w:tc>
        <w:tc>
          <w:tcPr>
            <w:tcW w:type="dxa" w:w="32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Authority</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HIPAA Privacy Officer</w:t>
            </w:r>
          </w:p>
        </w:tc>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c>
          <w:tcPr>
            <w:tcW w:type="dxa" w:w="32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Development and implementation of privacy policies; receipt of complaints; privacy training; individual-rights administration.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HIPAA Security Officer</w:t>
            </w:r>
          </w:p>
        </w:tc>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c>
          <w:tcPr>
            <w:tcW w:type="dxa" w:w="32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Development and implementation of the safeguards required by the Security Rule; risk analysis; incident response command.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Compliance Contact</w:t>
            </w:r>
          </w:p>
        </w:tc>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privacy@getarka.health / security@getarka.health</w:t>
            </w:r>
          </w:p>
        </w:tc>
        <w:tc>
          <w:tcPr>
            <w:tcW w:type="dxa" w:w="32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Designated channels for privacy and security inquiries, complaints, and vulnerability reports.</w:t>
            </w:r>
          </w:p>
        </w:tc>
      </w:tr>
    </w:tbl>
    <w:p>
      <w:pPr>
        <w:spacing w:after="80" w:line="264"/>
        <w:jc w:val="both"/>
      </w:pPr>
    </w:p>
    <w:p>
      <w:pPr>
        <w:spacing w:after="160" w:line="264"/>
        <w:jc w:val="both"/>
      </w:pPr>
      <w:r>
        <w:rPr>
          <w:rFonts w:ascii="Times New Roman" w:cs="Times New Roman" w:eastAsia="Times New Roman" w:hAnsi="Times New Roman"/>
          <w:color w:val="0F172A"/>
          <w:sz w:val="22"/>
          <w:szCs w:val="22"/>
        </w:rPr>
        <w:t xml:space="preserve">One individual may hold both officer designations while the Company employs fewer than twenty-five (25) Workforce Members. Upon exceeding that threshold, or upon execution of the Company’s third business associate agreement with a covered entity, whichever occurs first, the Board shall evaluate separation of the roles and the engagement of a virtual or fractional Chief Information Security Officer.</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GOVERNANCE STRUCTURE</w:t>
      </w:r>
    </w:p>
    <w:p>
      <w:pPr>
        <w:pStyle w:val="Heading2"/>
        <w:keepNext/>
        <w:spacing w:after="120" w:before="240"/>
      </w:pPr>
      <w:r>
        <w:rPr>
          <w:rFonts w:ascii="Arial" w:cs="Arial" w:eastAsia="Arial" w:hAnsi="Arial"/>
          <w:b/>
          <w:bCs/>
          <w:color w:val="1E293B"/>
          <w:sz w:val="21"/>
          <w:szCs w:val="21"/>
        </w:rPr>
        <w:t xml:space="preserve">4.1 Security &amp; Compliance Committee</w:t>
      </w:r>
    </w:p>
    <w:p>
      <w:pPr>
        <w:spacing w:after="160" w:line="264"/>
        <w:jc w:val="both"/>
      </w:pPr>
      <w:r>
        <w:rPr>
          <w:rFonts w:ascii="Times New Roman" w:cs="Times New Roman" w:eastAsia="Times New Roman" w:hAnsi="Times New Roman"/>
          <w:color w:val="0F172A"/>
          <w:sz w:val="22"/>
          <w:szCs w:val="22"/>
        </w:rPr>
        <w:t xml:space="preserve">A Security &amp; Compliance Committee (the “</w:t>
      </w:r>
      <w:r>
        <w:rPr>
          <w:rFonts w:ascii="Times New Roman" w:cs="Times New Roman" w:eastAsia="Times New Roman" w:hAnsi="Times New Roman"/>
          <w:b/>
          <w:bCs/>
          <w:color w:val="0F172A"/>
          <w:sz w:val="22"/>
          <w:szCs w:val="22"/>
        </w:rPr>
        <w:t xml:space="preserve">Committee</w:t>
      </w:r>
      <w:r>
        <w:rPr>
          <w:rFonts w:ascii="Times New Roman" w:cs="Times New Roman" w:eastAsia="Times New Roman" w:hAnsi="Times New Roman"/>
          <w:color w:val="0F172A"/>
          <w:sz w:val="22"/>
          <w:szCs w:val="22"/>
        </w:rPr>
        <w:t xml:space="preserve">”) is hereby constituted, consisting of the Privacy Officer, the Security Officer, and, as the Company scales, the engineering lead and one independent advisor. Until additional members are appointed, the designated officer shall discharge Committee functions and shall document each quarterly review in written minutes. The Committee shall: (a) review risk-analysis results and approve the annual risk-management plan; (b) approve, ratify, and retire policies; (c) review security incidents, sanction determinations, and corrective-action plans; (d) monitor third-party audit and certification milestones against ARKA-RDY-004; and (e) report to the Board no less than semi-annually.</w:t>
      </w:r>
    </w:p>
    <w:p>
      <w:pPr>
        <w:pStyle w:val="Heading2"/>
        <w:keepNext/>
        <w:spacing w:after="120" w:before="240"/>
      </w:pPr>
      <w:r>
        <w:rPr>
          <w:rFonts w:ascii="Arial" w:cs="Arial" w:eastAsia="Arial" w:hAnsi="Arial"/>
          <w:b/>
          <w:bCs/>
          <w:color w:val="1E293B"/>
          <w:sz w:val="21"/>
          <w:szCs w:val="21"/>
        </w:rPr>
        <w:t xml:space="preserve">4.2 Policy lifecycle and document control</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Adoption.</w:t>
      </w:r>
      <w:r>
        <w:rPr>
          <w:rFonts w:ascii="Times New Roman" w:cs="Times New Roman" w:eastAsia="Times New Roman" w:hAnsi="Times New Roman"/>
          <w:color w:val="0F172A"/>
          <w:sz w:val="22"/>
          <w:szCs w:val="22"/>
        </w:rPr>
        <w:t xml:space="preserve"> A policy becomes effective upon written approval by the designated officer recorded in the document’s Adoption and Approval block.</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Review.</w:t>
      </w:r>
      <w:r>
        <w:rPr>
          <w:rFonts w:ascii="Times New Roman" w:cs="Times New Roman" w:eastAsia="Times New Roman" w:hAnsi="Times New Roman"/>
          <w:color w:val="0F172A"/>
          <w:sz w:val="22"/>
          <w:szCs w:val="22"/>
        </w:rPr>
        <w:t xml:space="preserve"> Each policy shall be reviewed at least annually, and within thirty (30) days following any material change in operations, architecture, vendors, or applicable law, in accordance with the evaluation standard at 45 C.F.R. § 164.308(a)(8).</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Versioning.</w:t>
      </w:r>
      <w:r>
        <w:rPr>
          <w:rFonts w:ascii="Times New Roman" w:cs="Times New Roman" w:eastAsia="Times New Roman" w:hAnsi="Times New Roman"/>
          <w:color w:val="0F172A"/>
          <w:sz w:val="22"/>
          <w:szCs w:val="22"/>
        </w:rPr>
        <w:t xml:space="preserve"> Documents follow semantic versioning (major.minor). Material amendments increment the major version and require re-approval; editorial corrections increment the minor version.</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Retention.</w:t>
      </w:r>
      <w:r>
        <w:rPr>
          <w:rFonts w:ascii="Times New Roman" w:cs="Times New Roman" w:eastAsia="Times New Roman" w:hAnsi="Times New Roman"/>
          <w:color w:val="0F172A"/>
          <w:sz w:val="22"/>
          <w:szCs w:val="22"/>
        </w:rPr>
        <w:t xml:space="preserve"> Pursuant to 45 C.F.R. § 164.316(b)(2)(i), each policy, and each required action, activity, or assessment documented under the Program, shall be retained for a minimum of six (6) years from the later of its creation date or the date it was last in effect.</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Availability.</w:t>
      </w:r>
      <w:r>
        <w:rPr>
          <w:rFonts w:ascii="Times New Roman" w:cs="Times New Roman" w:eastAsia="Times New Roman" w:hAnsi="Times New Roman"/>
          <w:color w:val="0F172A"/>
          <w:sz w:val="22"/>
          <w:szCs w:val="22"/>
        </w:rPr>
        <w:t xml:space="preserve"> Current policies shall be made available to all Workforce Members and, upon execution of appropriate confidentiality undertakings, to customers, prospective customers, and auditors conducting security diligence.</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REGULATORY FRAMEWORK AND PROGRAM COMMITMENTS</w:t>
      </w:r>
    </w:p>
    <w:p>
      <w:pPr>
        <w:pStyle w:val="Heading2"/>
        <w:keepNext/>
        <w:spacing w:after="120" w:before="240"/>
      </w:pPr>
      <w:r>
        <w:rPr>
          <w:rFonts w:ascii="Arial" w:cs="Arial" w:eastAsia="Arial" w:hAnsi="Arial"/>
          <w:b/>
          <w:bCs/>
          <w:color w:val="1E293B"/>
          <w:sz w:val="21"/>
          <w:szCs w:val="21"/>
        </w:rPr>
        <w:t xml:space="preserve">5.1 HIPAA</w:t>
      </w:r>
    </w:p>
    <w:p>
      <w:pPr>
        <w:spacing w:after="160" w:line="264"/>
        <w:jc w:val="both"/>
      </w:pPr>
      <w:r>
        <w:rPr>
          <w:rFonts w:ascii="Times New Roman" w:cs="Times New Roman" w:eastAsia="Times New Roman" w:hAnsi="Times New Roman"/>
          <w:color w:val="0F172A"/>
          <w:sz w:val="22"/>
          <w:szCs w:val="22"/>
        </w:rPr>
        <w:t xml:space="preserve">When ARKA creates, receives, maintains, or transmits PHI on behalf of a covered entity or another business associate, ARKA will do so solely pursuant to an executed business associate agreement substantially in the form of ARKA-LGL-001, and will comply with the Security Rule in full and with the Privacy Rule provisions applicable to business associates, including the prohibitions on uses and disclosures not permitted by the agreement, the minimum-necessary standard, and the breach-notification obligations of 45 C.F.R. §§ 164.410 and 164.412.</w:t>
      </w:r>
    </w:p>
    <w:p>
      <w:pPr>
        <w:pStyle w:val="Heading2"/>
        <w:keepNext/>
        <w:spacing w:after="120" w:before="240"/>
      </w:pPr>
      <w:r>
        <w:rPr>
          <w:rFonts w:ascii="Arial" w:cs="Arial" w:eastAsia="Arial" w:hAnsi="Arial"/>
          <w:b/>
          <w:bCs/>
          <w:color w:val="1E293B"/>
          <w:sz w:val="21"/>
          <w:szCs w:val="21"/>
        </w:rPr>
        <w:t xml:space="preserve">5.2 Heightened baseline — 2025 Security Rule rulemaking</w:t>
      </w:r>
    </w:p>
    <w:p>
      <w:pPr>
        <w:spacing w:after="160" w:line="264"/>
        <w:jc w:val="both"/>
      </w:pPr>
      <w:r>
        <w:rPr>
          <w:rFonts w:ascii="Times New Roman" w:cs="Times New Roman" w:eastAsia="Times New Roman" w:hAnsi="Times New Roman"/>
          <w:color w:val="0F172A"/>
          <w:sz w:val="22"/>
          <w:szCs w:val="22"/>
        </w:rPr>
        <w:t xml:space="preserve">In December 2024, the U.S. Department of Health and Human Services, Office for Civil Rights, issued a notice of proposed rulemaking to strengthen the Security Rule (90 Fed. Reg. 898, Jan. 6, 2025). The Company has elected to adopt the principal proposed specifications as its internal baseline notwithstanding that a final rule may not yet be effective, including: removal of reliance on “addressable” designations; mandatory multi-factor authentication; mandatory encryption of ePHI at rest and in transit; maintenance of a technology asset inventory and network map; vulnerability scanning at least every six (6) months and annual penetration testing; network segmentation; and demonstrated capability to restore critical systems within seventy-two (72) hours. These commitments are implemented through the ARKA-SEC policy series.</w:t>
      </w:r>
    </w:p>
    <w:p>
      <w:pPr>
        <w:pStyle w:val="Heading2"/>
        <w:keepNext/>
        <w:spacing w:after="120" w:before="240"/>
      </w:pPr>
      <w:r>
        <w:rPr>
          <w:rFonts w:ascii="Arial" w:cs="Arial" w:eastAsia="Arial" w:hAnsi="Arial"/>
          <w:b/>
          <w:bCs/>
          <w:color w:val="1E293B"/>
          <w:sz w:val="21"/>
          <w:szCs w:val="21"/>
        </w:rPr>
        <w:t xml:space="preserve">5.3 SOC 2 and HITRUST</w:t>
      </w:r>
    </w:p>
    <w:p>
      <w:pPr>
        <w:spacing w:after="160" w:line="264"/>
        <w:jc w:val="both"/>
      </w:pPr>
      <w:r>
        <w:rPr>
          <w:rFonts w:ascii="Times New Roman" w:cs="Times New Roman" w:eastAsia="Times New Roman" w:hAnsi="Times New Roman"/>
          <w:color w:val="0F172A"/>
          <w:sz w:val="22"/>
          <w:szCs w:val="22"/>
        </w:rPr>
        <w:t xml:space="preserve">The Company maintains a SOC 2 readiness program (ARKA-RDY-002) targeting a Type I examination followed by a Type II examination covering the Security, Availability, and Confidentiality categories, and a HITRUST e1 readiness program (ARKA-RDY-003). The Company </w:t>
      </w:r>
      <w:r>
        <w:rPr>
          <w:rFonts w:ascii="Times New Roman" w:cs="Times New Roman" w:eastAsia="Times New Roman" w:hAnsi="Times New Roman"/>
          <w:b/>
          <w:bCs/>
          <w:color w:val="0F172A"/>
          <w:sz w:val="22"/>
          <w:szCs w:val="22"/>
        </w:rPr>
        <w:t xml:space="preserve">does not represent that it is SOC 2 attested or HITRUST certified</w:t>
      </w:r>
      <w:r>
        <w:rPr>
          <w:rFonts w:ascii="Times New Roman" w:cs="Times New Roman" w:eastAsia="Times New Roman" w:hAnsi="Times New Roman"/>
          <w:color w:val="0F172A"/>
          <w:sz w:val="22"/>
          <w:szCs w:val="22"/>
        </w:rPr>
        <w:t xml:space="preserve"> and shall not so represent until the applicable report or certification has been issued; external communications shall describe these efforts as “in progress” or “audit-ready,” consistent with ARKA-RDY-004.</w:t>
      </w:r>
    </w:p>
    <w:p>
      <w:pPr>
        <w:pStyle w:val="Heading2"/>
        <w:keepNext/>
        <w:spacing w:after="120" w:before="240"/>
      </w:pPr>
      <w:r>
        <w:rPr>
          <w:rFonts w:ascii="Arial" w:cs="Arial" w:eastAsia="Arial" w:hAnsi="Arial"/>
          <w:b/>
          <w:bCs/>
          <w:color w:val="1E293B"/>
          <w:sz w:val="21"/>
          <w:szCs w:val="21"/>
        </w:rPr>
        <w:t xml:space="preserve">5.4 Relationship to FDA regulatory posture</w:t>
      </w:r>
    </w:p>
    <w:p>
      <w:pPr>
        <w:spacing w:after="160" w:line="264"/>
        <w:jc w:val="both"/>
      </w:pPr>
      <w:r>
        <w:rPr>
          <w:rFonts w:ascii="Times New Roman" w:cs="Times New Roman" w:eastAsia="Times New Roman" w:hAnsi="Times New Roman"/>
          <w:color w:val="0F172A"/>
          <w:sz w:val="22"/>
          <w:szCs w:val="22"/>
        </w:rPr>
        <w:t xml:space="preserve">The Company’s position regarding FDA oversight of its software functions (Non-Device CDS analysis under section 520(o)(1)(E) of the FD&amp;C Act) is maintained separately in the Company’s regulatory documentation and Trust Center. This Charter governs privacy and security; nothing herein shall be construed as a representation regarding FDA clearance, approval, or concurrence.</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POLICY FRAMEWORK</w:t>
      </w:r>
    </w:p>
    <w:p>
      <w:pPr>
        <w:spacing w:after="160" w:line="264"/>
        <w:jc w:val="both"/>
      </w:pPr>
      <w:r>
        <w:rPr>
          <w:rFonts w:ascii="Times New Roman" w:cs="Times New Roman" w:eastAsia="Times New Roman" w:hAnsi="Times New Roman"/>
          <w:color w:val="0F172A"/>
          <w:sz w:val="22"/>
          <w:szCs w:val="22"/>
        </w:rPr>
        <w:t xml:space="preserve">The Program comprises the following controlled documents, each of which is incorporated into this Charter by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Document No.</w:t>
            </w:r>
          </w:p>
        </w:tc>
        <w:tc>
          <w:tcPr>
            <w:tcW w:type="dxa" w:w="7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Title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ARKA-GOV-001</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Information Security &amp; Compliance Program Charter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ARKA-PRIV-001</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HIPAA Privacy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ARKA-PRIV-002</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De-Identification &amp; Limited Data Set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ARKA-LGL-001</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Business Associate Agreement (Template)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ARKA-SEC-001</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Information Security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ARKA-SEC-002</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Risk Analysis &amp; Risk Management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ARKA-SEC-003</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Access Control &amp; Identity Management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ARKA-SEC-004</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Encryption &amp; Key Management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ARKA-SEC-005</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Audit Logging &amp; Monitoring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ARKA-SEC-006</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Incident Response &amp; Breach Notification Plan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ARKA-SEC-007</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Contingency Plan: Data Backup, Disaster Recovery &amp; Emergency Mode Operations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ARKA-SEC-008</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Workforce Security Training &amp; Sanction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ARKA-SEC-009</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 &amp; Subcontractor Risk Management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ARKA-SEC-010</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Secure Software Development &amp; Change Management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ARKA-SEC-011</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Classification, Retention &amp; Secure Disposal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ARKA-SEC-012</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Acceptable Use, Workstation &amp; Mobile Device Policy</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ARKA-RDY-001</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HIPAA Security Risk Assessment Report (2026)</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ARKA-RDY-002</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SOC 2 Readiness &amp; Gap Assessment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ARKA-RDY-003</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HITRUST e1 Readiness Roadmap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ARKA-RDY-004</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Compliance Roadmap &amp; Certification Timeline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ARKA-DEMO-001</w:t>
            </w:r>
          </w:p>
        </w:tc>
        <w:tc>
          <w:tcPr>
            <w:tcW w:type="dxa" w:w="7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Demonstration Environment Synthetic Data Policy &amp; No-PHI Attestation</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7. ENFORCEMENT, EXCEPTIONS, AND NON-RETALIATION</w:t>
      </w:r>
    </w:p>
    <w:p>
      <w:pPr>
        <w:spacing w:after="160" w:line="264"/>
        <w:jc w:val="both"/>
      </w:pPr>
      <w:r>
        <w:rPr>
          <w:rFonts w:ascii="Times New Roman" w:cs="Times New Roman" w:eastAsia="Times New Roman" w:hAnsi="Times New Roman"/>
          <w:color w:val="0F172A"/>
          <w:sz w:val="22"/>
          <w:szCs w:val="22"/>
        </w:rPr>
        <w:t xml:space="preserve">Violations of the Program are subject to the graduated sanctions set forth in ARKA-SEC-008, up to and including termination of employment or engagement. Any exception to a Program requirement must be requested in writing, must identify compensating controls, and may be granted only by the Security Officer for a defined period not to exceed ninety (90) days, subject to renewal upon re-evaluation; all exceptions shall be recorded in the exception register. The Company shall not intimidate, threaten, coerce, discriminate against, or take other retaliatory action against any individual for filing a complaint, reporting a suspected incident in good faith, or participating in any investigation or proceeding, consistent with 45 C.F.R. § 160.316.</w:t>
      </w:r>
    </w:p>
    <w:p>
      <w:pPr>
        <w:pStyle w:val="Heading1"/>
        <w:keepNext/>
        <w:pBdr>
          <w:bottom w:val="single" w:color="0D9488" w:sz="6" w:space="2"/>
        </w:pBdr>
        <w:spacing w:after="180" w:before="340"/>
      </w:pPr>
      <w:r>
        <w:rPr>
          <w:rFonts w:ascii="Arial" w:cs="Arial" w:eastAsia="Arial" w:hAnsi="Arial"/>
          <w:b/>
          <w:bCs/>
          <w:color w:val="0F172A"/>
          <w:sz w:val="24"/>
          <w:szCs w:val="24"/>
        </w:rPr>
        <w:t xml:space="preserve">8. NO THIRD-PARTY RIGHTS; NO LEGAL ADVICE</w:t>
      </w:r>
    </w:p>
    <w:p>
      <w:pPr>
        <w:spacing w:after="160" w:line="264"/>
        <w:jc w:val="both"/>
      </w:pPr>
      <w:r>
        <w:rPr>
          <w:rFonts w:ascii="Times New Roman" w:cs="Times New Roman" w:eastAsia="Times New Roman" w:hAnsi="Times New Roman"/>
          <w:color w:val="0F172A"/>
          <w:sz w:val="22"/>
          <w:szCs w:val="22"/>
        </w:rPr>
        <w:t xml:space="preserve">This Charter is an internal governance instrument. It does not create contractual rights in favor of any third party, is not a representation or warranty to any customer except to the extent expressly incorporated into a written agreement signed by the Company, and does not constitute legal advice. In the event of a conflict between this Charter and an executed business associate agreement, the executed agreement controls with respect to the parties thereto.</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ARKA-GOV-001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ARKA-GOV-001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Information Security &amp; Compliance Program Charter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&amp; Compliance Program Charter</dc:title>
  <dc:creator>ARKA Health, Inc.</dc:creator>
  <dc:description>Establishing the privacy, security, and compliance program of ARKA Health, Inc.</dc:description>
  <cp:lastModifiedBy>Un-named</cp:lastModifiedBy>
  <cp:revision>1</cp:revision>
  <dcterms:created xsi:type="dcterms:W3CDTF">2026-06-11T01:24:06.135Z</dcterms:created>
  <dcterms:modified xsi:type="dcterms:W3CDTF">2026-06-11T01:24:06.135Z</dcterms:modified>
</cp:coreProperties>
</file>

<file path=docProps/custom.xml><?xml version="1.0" encoding="utf-8"?>
<Properties xmlns="http://schemas.openxmlformats.org/officeDocument/2006/custom-properties" xmlns:vt="http://schemas.openxmlformats.org/officeDocument/2006/docPropsVTypes"/>
</file>