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DE-IDENTIFICATION &amp; LIMITED DATA SET POLICY</w:t>
      </w:r>
    </w:p>
    <w:p>
      <w:pPr>
        <w:spacing w:after="60"/>
        <w:jc w:val="center"/>
      </w:pPr>
      <w:r>
        <w:rPr>
          <w:rFonts w:ascii="Arial" w:cs="Arial" w:eastAsia="Arial" w:hAnsi="Arial"/>
          <w:i/>
          <w:iCs/>
          <w:color w:val="475569"/>
          <w:sz w:val="21"/>
          <w:szCs w:val="21"/>
        </w:rPr>
        <w:t xml:space="preserve">Standards for de-identification under 45 C.F.R. § 164.514 and for limited data sets and data use agreements</w:t>
      </w:r>
    </w:p>
    <w:p>
      <w:pPr>
        <w:spacing w:after="320"/>
        <w:jc w:val="center"/>
      </w:pPr>
      <w:r>
        <w:rPr>
          <w:rFonts w:ascii="Arial" w:cs="Arial" w:eastAsia="Arial" w:hAnsi="Arial"/>
          <w:b/>
          <w:bCs/>
          <w:color w:val="0D9488"/>
          <w:spacing w:val="20"/>
          <w:sz w:val="17"/>
          <w:szCs w:val="17"/>
        </w:rPr>
        <w:t xml:space="preserve">ARKA-PRIV-002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ARKA-PRIV-002</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SCOPE</w:t>
      </w:r>
    </w:p>
    <w:p>
      <w:pPr>
        <w:spacing w:after="160" w:line="264"/>
        <w:jc w:val="both"/>
      </w:pPr>
      <w:r>
        <w:rPr>
          <w:rFonts w:ascii="Times New Roman" w:cs="Times New Roman" w:eastAsia="Times New Roman" w:hAnsi="Times New Roman"/>
          <w:color w:val="0F172A"/>
          <w:sz w:val="22"/>
          <w:szCs w:val="22"/>
        </w:rPr>
        <w:t xml:space="preserve">This Policy prescribes the exclusive methods by which ARKA Health, Inc. (“</w:t>
      </w:r>
      <w:r>
        <w:rPr>
          <w:rFonts w:ascii="Times New Roman" w:cs="Times New Roman" w:eastAsia="Times New Roman" w:hAnsi="Times New Roman"/>
          <w:b/>
          <w:bCs/>
          <w:color w:val="0F172A"/>
          <w:sz w:val="22"/>
          <w:szCs w:val="22"/>
        </w:rPr>
        <w:t xml:space="preserve">ARKA</w:t>
      </w:r>
      <w:r>
        <w:rPr>
          <w:rFonts w:ascii="Times New Roman" w:cs="Times New Roman" w:eastAsia="Times New Roman" w:hAnsi="Times New Roman"/>
          <w:color w:val="0F172A"/>
          <w:sz w:val="22"/>
          <w:szCs w:val="22"/>
        </w:rPr>
        <w:t xml:space="preserve">”) may de-identify Protected Health Information and the conditions under which ARKA may create, use, or disclose a limited data set. It applies to all Workforce Members and to all data pipelines, models, analytics, demonstrations, and publications that derive from PHI. De-identification of PHI received in a business associate capacity is permitted </w:t>
      </w:r>
      <w:r>
        <w:rPr>
          <w:rFonts w:ascii="Times New Roman" w:cs="Times New Roman" w:eastAsia="Times New Roman" w:hAnsi="Times New Roman"/>
          <w:b/>
          <w:bCs/>
          <w:color w:val="0F172A"/>
          <w:sz w:val="22"/>
          <w:szCs w:val="22"/>
        </w:rPr>
        <w:t xml:space="preserve">only where the applicable business associate agreement so provides</w:t>
      </w:r>
      <w:r>
        <w:rPr>
          <w:rFonts w:ascii="Times New Roman" w:cs="Times New Roman" w:eastAsia="Times New Roman" w:hAnsi="Times New Roman"/>
          <w:color w:val="0F172A"/>
          <w:sz w:val="22"/>
          <w:szCs w:val="22"/>
        </w:rPr>
        <w:t xml:space="preserve">.</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DE-IDENTIFICATION STANDARDS</w:t>
      </w:r>
    </w:p>
    <w:p>
      <w:pPr>
        <w:pStyle w:val="Heading2"/>
        <w:keepNext/>
        <w:spacing w:after="120" w:before="240"/>
      </w:pPr>
      <w:r>
        <w:rPr>
          <w:rFonts w:ascii="Arial" w:cs="Arial" w:eastAsia="Arial" w:hAnsi="Arial"/>
          <w:b/>
          <w:bCs/>
          <w:color w:val="1E293B"/>
          <w:sz w:val="21"/>
          <w:szCs w:val="21"/>
        </w:rPr>
        <w:t xml:space="preserve">2.1 Safe Harbor method — 45 C.F.R. § 164.514(b)(2)</w:t>
      </w:r>
    </w:p>
    <w:p>
      <w:pPr>
        <w:spacing w:after="160" w:line="264"/>
        <w:jc w:val="both"/>
      </w:pPr>
      <w:r>
        <w:rPr>
          <w:rFonts w:ascii="Times New Roman" w:cs="Times New Roman" w:eastAsia="Times New Roman" w:hAnsi="Times New Roman"/>
          <w:color w:val="0F172A"/>
          <w:sz w:val="22"/>
          <w:szCs w:val="22"/>
        </w:rPr>
        <w:t xml:space="preserve">Information is de-identified under the Safe Harbor method only upon (i) removal of all eighteen (18) categories of identifiers enumerated below with respect to the individual and the individual’s relatives, employers, and household members, and (ii) the absence of actual knowledge that the remaining information could be used alone or in combination with other information to identify the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Identifiers to be removed (1–9)</w:t>
            </w:r>
          </w:p>
        </w:tc>
        <w:tc>
          <w:tcPr>
            <w:tcW w:type="dxa" w:w="46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Identifiers to be removed (10–18)</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 Names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 Account numbers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2. Geographic subdivisions smaller than a state (incl. ZIP codes, except the initial three digits where the unit contains &gt; 20,000 people)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11. Certificate / license numbers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3. All elements of dates (except year) directly related to an individual; all ages over 89</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12. Vehicle identifiers and serial numbers, incl. license plates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 Telephone numbers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13. Device identifiers and serial numbers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5. Fax numbers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14. Web URLs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6. Email addresses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15. IP addresses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7. Social Security numbers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16. Biometric identifiers, incl. finger and voice prints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8. Medical record numbers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17. Full-face photographs and comparable images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9. Health plan beneficiary numbers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18. Any other unique identifying number, characteristic, or code, except a re-identification code assigned under § 164.514(c)</w:t>
            </w:r>
          </w:p>
        </w:tc>
      </w:tr>
    </w:tbl>
    <w:p>
      <w:pPr>
        <w:spacing w:after="80" w:line="264"/>
        <w:jc w:val="both"/>
      </w:pPr>
    </w:p>
    <w:p>
      <w:pPr>
        <w:pStyle w:val="Heading2"/>
        <w:keepNext/>
        <w:spacing w:after="120" w:before="240"/>
      </w:pPr>
      <w:r>
        <w:rPr>
          <w:rFonts w:ascii="Arial" w:cs="Arial" w:eastAsia="Arial" w:hAnsi="Arial"/>
          <w:b/>
          <w:bCs/>
          <w:color w:val="1E293B"/>
          <w:sz w:val="21"/>
          <w:szCs w:val="21"/>
        </w:rPr>
        <w:t xml:space="preserve">2.2 Expert Determination method — 45 C.F.R. § 164.514(b)(1)</w:t>
      </w:r>
    </w:p>
    <w:p>
      <w:pPr>
        <w:spacing w:after="160" w:line="264"/>
        <w:jc w:val="both"/>
      </w:pPr>
      <w:r>
        <w:rPr>
          <w:rFonts w:ascii="Times New Roman" w:cs="Times New Roman" w:eastAsia="Times New Roman" w:hAnsi="Times New Roman"/>
          <w:color w:val="0F172A"/>
          <w:sz w:val="22"/>
          <w:szCs w:val="22"/>
        </w:rPr>
        <w:t xml:space="preserve">Alternatively, information may be treated as de-identified where a person with appropriate knowledge of and experience with generally accepted statistical and scientific principles and methods determines that the risk is very small that the information could be used, alone or in combination with other reasonably available information, by an anticipated recipient to identify an individual, and documents the methods and results of the analysis. The Privacy Officer shall retain each expert determination, including the expert’s qualifications, for six (6) years and shall commission a refreshed determination upon any material change to the data set or its disclosure context.</w:t>
      </w:r>
    </w:p>
    <w:p>
      <w:pPr>
        <w:pStyle w:val="Heading2"/>
        <w:keepNext/>
        <w:spacing w:after="120" w:before="240"/>
      </w:pPr>
      <w:r>
        <w:rPr>
          <w:rFonts w:ascii="Arial" w:cs="Arial" w:eastAsia="Arial" w:hAnsi="Arial"/>
          <w:b/>
          <w:bCs/>
          <w:color w:val="1E293B"/>
          <w:sz w:val="21"/>
          <w:szCs w:val="21"/>
        </w:rPr>
        <w:t xml:space="preserve">2.3 Re-identification codes</w:t>
      </w:r>
    </w:p>
    <w:p>
      <w:pPr>
        <w:spacing w:after="160" w:line="264"/>
        <w:jc w:val="both"/>
      </w:pPr>
      <w:r>
        <w:rPr>
          <w:rFonts w:ascii="Times New Roman" w:cs="Times New Roman" w:eastAsia="Times New Roman" w:hAnsi="Times New Roman"/>
          <w:color w:val="0F172A"/>
          <w:sz w:val="22"/>
          <w:szCs w:val="22"/>
        </w:rPr>
        <w:t xml:space="preserve">Any code or other means of record re-identification assigned under 45 C.F.R. § 164.514(c) shall not be derived from or related to information about the individual, shall not be disclosed to any recipient of the de-identified data, and shall be protected as PHI under the ARKA-SEC policy series.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LIMITED DATA SETS</w:t>
      </w:r>
    </w:p>
    <w:p>
      <w:pPr>
        <w:spacing w:after="160" w:line="264"/>
        <w:jc w:val="both"/>
      </w:pPr>
      <w:r>
        <w:rPr>
          <w:rFonts w:ascii="Times New Roman" w:cs="Times New Roman" w:eastAsia="Times New Roman" w:hAnsi="Times New Roman"/>
          <w:color w:val="0F172A"/>
          <w:sz w:val="22"/>
          <w:szCs w:val="22"/>
        </w:rPr>
        <w:t xml:space="preserve">ARKA may create, use, or disclose a limited data set, as defined at 45 C.F.R. § 164.514(e)(2), solely for research, public health, or health care operations purposes, and solely pursuant to a data use agreement satisfying § 164.514(e)(4) executed </w:t>
      </w:r>
      <w:r>
        <w:rPr>
          <w:rFonts w:ascii="Times New Roman" w:cs="Times New Roman" w:eastAsia="Times New Roman" w:hAnsi="Times New Roman"/>
          <w:b/>
          <w:bCs/>
          <w:color w:val="0F172A"/>
          <w:sz w:val="22"/>
          <w:szCs w:val="22"/>
        </w:rPr>
        <w:t xml:space="preserve">before</w:t>
      </w:r>
      <w:r>
        <w:rPr>
          <w:rFonts w:ascii="Times New Roman" w:cs="Times New Roman" w:eastAsia="Times New Roman" w:hAnsi="Times New Roman"/>
          <w:color w:val="0F172A"/>
          <w:sz w:val="22"/>
          <w:szCs w:val="22"/>
        </w:rPr>
        <w:t xml:space="preserve"> any use or disclosure. Each data use agreement shall: identify the permitted uses and disclosures; identify the permitted recipients; and bind the recipient not to use or further disclose the information except as permitted, to use appropriate safeguards, to report unauthorized uses, to bind agents to the same restrictions, and not to identify the information or contact the individuals.</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PROHIBITION ON RE-IDENTIFICATION</w:t>
      </w:r>
    </w:p>
    <w:p>
      <w:pPr>
        <w:spacing w:after="160" w:line="264"/>
        <w:jc w:val="both"/>
      </w:pPr>
      <w:r>
        <w:rPr>
          <w:rFonts w:ascii="Times New Roman" w:cs="Times New Roman" w:eastAsia="Times New Roman" w:hAnsi="Times New Roman"/>
          <w:color w:val="0F172A"/>
          <w:sz w:val="22"/>
          <w:szCs w:val="22"/>
        </w:rPr>
        <w:t xml:space="preserve">No Workforce Member shall attempt to re-identify, or facilitate the re-identification of, any individual from de-identified information or a limited data set, except as expressly authorized in writing by the Privacy Officer for a lawful purpose (e.g., a data-integrity audit under controlled conditions). Violation of this Section is a Category III sanction event under ARKA-SEC-008.</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MACHINE LEARNING AND ANALYTICS APPLICATIONS</w:t>
      </w:r>
    </w:p>
    <w:p>
      <w:pPr>
        <w:spacing w:after="160" w:line="264"/>
        <w:jc w:val="both"/>
      </w:pPr>
      <w:r>
        <w:rPr>
          <w:rFonts w:ascii="Times New Roman" w:cs="Times New Roman" w:eastAsia="Times New Roman" w:hAnsi="Times New Roman"/>
          <w:color w:val="0F172A"/>
          <w:sz w:val="22"/>
          <w:szCs w:val="22"/>
        </w:rPr>
        <w:t xml:space="preserve">Model training, evaluation, benchmarking, and product analytics shall use synthetic data or data de-identified under Section 2. The Security Officer shall document, for each training corpus, the provenance of the data and the de-identification method applied, and shall subject outbound model artifacts and aggregate statistics to a disclosure-risk review (small-cell suppression for counts below eleven (11); suppression of free-text fields unless scrubbed and sampled for residual identifiers).</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DEMONSTRATION AND MARKETING MATERIALS</w:t>
      </w:r>
    </w:p>
    <w:p>
      <w:pPr>
        <w:spacing w:after="160" w:line="264"/>
        <w:jc w:val="both"/>
      </w:pPr>
      <w:r>
        <w:rPr>
          <w:rFonts w:ascii="Times New Roman" w:cs="Times New Roman" w:eastAsia="Times New Roman" w:hAnsi="Times New Roman"/>
          <w:color w:val="0F172A"/>
          <w:sz w:val="22"/>
          <w:szCs w:val="22"/>
        </w:rPr>
        <w:t xml:space="preserve">All patient records, names, images, and clinical scenarios appearing in the ARKA demonstration environment, sales materials, or publications are and shall remain wholly synthetic in accordance with ARKA-DEMO-001. PHI, even if de-identified, shall not be used in public-facing demonstrations without the prior written approval of the Privacy Officer and, where required by the applicable BAA, the Customer.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ARKA-PRIV-002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ARKA-PRIV-002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De-Identification &amp; Limited Data Set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De-Identification &amp; Limited Data Set Policy</dc:title>
  <dc:creator>ARKA Health, Inc.</dc:creator>
  <dc:description>Standards for de-identification under 45 C.F.R. § 164.514 and for limited data sets and data use agreements</dc:description>
  <cp:lastModifiedBy>Un-named</cp:lastModifiedBy>
  <cp:revision>1</cp:revision>
  <dcterms:created xsi:type="dcterms:W3CDTF">2026-06-11T01:28:01.543Z</dcterms:created>
  <dcterms:modified xsi:type="dcterms:W3CDTF">2026-06-11T01:28:01.543Z</dcterms:modified>
</cp:coreProperties>
</file>

<file path=docProps/custom.xml><?xml version="1.0" encoding="utf-8"?>
<Properties xmlns="http://schemas.openxmlformats.org/officeDocument/2006/custom-properties" xmlns:vt="http://schemas.openxmlformats.org/officeDocument/2006/docPropsVTypes"/>
</file>