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INFORMATION SECURITY POLICY</w:t>
      </w:r>
    </w:p>
    <w:p>
      <w:pPr>
        <w:spacing w:after="60"/>
        <w:jc w:val="center"/>
      </w:pPr>
      <w:r>
        <w:rPr>
          <w:rFonts w:ascii="Arial" w:cs="Arial" w:eastAsia="Arial" w:hAnsi="Arial"/>
          <w:i/>
          <w:iCs/>
          <w:color w:val="475569"/>
          <w:sz w:val="21"/>
          <w:szCs w:val="21"/>
        </w:rPr>
        <w:t xml:space="preserve">Master security policy implementing 45 C.F.R. Part 164, Subpart C and the SOC 2 Security category</w:t>
      </w:r>
    </w:p>
    <w:p>
      <w:pPr>
        <w:spacing w:after="320"/>
        <w:jc w:val="center"/>
      </w:pPr>
      <w:r>
        <w:rPr>
          <w:rFonts w:ascii="Arial" w:cs="Arial" w:eastAsia="Arial" w:hAnsi="Arial"/>
          <w:b/>
          <w:bCs/>
          <w:color w:val="0D9488"/>
          <w:spacing w:val="20"/>
          <w:sz w:val="17"/>
          <w:szCs w:val="17"/>
        </w:rPr>
        <w:t xml:space="preserve">ARKA-SEC-001  ·  Version 1.0  ·  Confidential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ARKA-SEC-001</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Internal</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PURPOSE</w:t>
      </w:r>
    </w:p>
    <w:p>
      <w:pPr>
        <w:spacing w:after="160" w:line="264"/>
        <w:jc w:val="both"/>
      </w:pPr>
      <w:r>
        <w:rPr>
          <w:rFonts w:ascii="Times New Roman" w:cs="Times New Roman" w:eastAsia="Times New Roman" w:hAnsi="Times New Roman"/>
          <w:color w:val="0F172A"/>
          <w:sz w:val="22"/>
          <w:szCs w:val="22"/>
        </w:rPr>
        <w:t xml:space="preserve">This Information Security Policy (this “</w:t>
      </w:r>
      <w:r>
        <w:rPr>
          <w:rFonts w:ascii="Times New Roman" w:cs="Times New Roman" w:eastAsia="Times New Roman" w:hAnsi="Times New Roman"/>
          <w:b/>
          <w:bCs/>
          <w:color w:val="0F172A"/>
          <w:sz w:val="22"/>
          <w:szCs w:val="22"/>
        </w:rPr>
        <w:t xml:space="preserve">Policy</w:t>
      </w:r>
      <w:r>
        <w:rPr>
          <w:rFonts w:ascii="Times New Roman" w:cs="Times New Roman" w:eastAsia="Times New Roman" w:hAnsi="Times New Roman"/>
          <w:color w:val="0F172A"/>
          <w:sz w:val="22"/>
          <w:szCs w:val="22"/>
        </w:rPr>
        <w:t xml:space="preserve">”) is the master technical and organizational security policy of ARKA Health, Inc. (“</w:t>
      </w:r>
      <w:r>
        <w:rPr>
          <w:rFonts w:ascii="Times New Roman" w:cs="Times New Roman" w:eastAsia="Times New Roman" w:hAnsi="Times New Roman"/>
          <w:b/>
          <w:bCs/>
          <w:color w:val="0F172A"/>
          <w:sz w:val="22"/>
          <w:szCs w:val="22"/>
        </w:rPr>
        <w:t xml:space="preserve">ARKA</w:t>
      </w:r>
      <w:r>
        <w:rPr>
          <w:rFonts w:ascii="Times New Roman" w:cs="Times New Roman" w:eastAsia="Times New Roman" w:hAnsi="Times New Roman"/>
          <w:color w:val="0F172A"/>
          <w:sz w:val="22"/>
          <w:szCs w:val="22"/>
        </w:rPr>
        <w:t xml:space="preserve">”). It implements the HIPAA Security Rule, 45 C.F.R. Part 164, Subpart C, with respect to electronic Protected Health Information (“</w:t>
      </w:r>
      <w:r>
        <w:rPr>
          <w:rFonts w:ascii="Times New Roman" w:cs="Times New Roman" w:eastAsia="Times New Roman" w:hAnsi="Times New Roman"/>
          <w:b/>
          <w:bCs/>
          <w:color w:val="0F172A"/>
          <w:sz w:val="22"/>
          <w:szCs w:val="22"/>
        </w:rPr>
        <w:t xml:space="preserve">ePHI</w:t>
      </w:r>
      <w:r>
        <w:rPr>
          <w:rFonts w:ascii="Times New Roman" w:cs="Times New Roman" w:eastAsia="Times New Roman" w:hAnsi="Times New Roman"/>
          <w:color w:val="0F172A"/>
          <w:sz w:val="22"/>
          <w:szCs w:val="22"/>
        </w:rPr>
        <w:t xml:space="preserve">”), and the AICPA Trust Services Criteria (Security category) with respect to all systems within the description of the ARKA service organization. Where this Policy states a control objective implemented in greater detail by a subordinate policy in the ARKA-SEC series, the subordinate policy governs the implementation.</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SECURITY PRINCIPLES</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Least privilege and need-to-know.</w:t>
      </w:r>
      <w:r>
        <w:rPr>
          <w:rFonts w:ascii="Times New Roman" w:cs="Times New Roman" w:eastAsia="Times New Roman" w:hAnsi="Times New Roman"/>
          <w:color w:val="0F172A"/>
          <w:sz w:val="22"/>
          <w:szCs w:val="22"/>
        </w:rPr>
        <w:t xml:space="preserve"> No Workforce Member or system component is granted access beyond that required for its documented function.</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Defense in depth.</w:t>
      </w:r>
      <w:r>
        <w:rPr>
          <w:rFonts w:ascii="Times New Roman" w:cs="Times New Roman" w:eastAsia="Times New Roman" w:hAnsi="Times New Roman"/>
          <w:color w:val="0F172A"/>
          <w:sz w:val="22"/>
          <w:szCs w:val="22"/>
        </w:rPr>
        <w:t xml:space="preserve"> Controls are layered — identity, network, application, and data — such that the failure of any single control does not result in the compromise of ePHI.</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Secure by default.</w:t>
      </w:r>
      <w:r>
        <w:rPr>
          <w:rFonts w:ascii="Times New Roman" w:cs="Times New Roman" w:eastAsia="Times New Roman" w:hAnsi="Times New Roman"/>
          <w:color w:val="0F172A"/>
          <w:sz w:val="22"/>
          <w:szCs w:val="22"/>
        </w:rPr>
        <w:t xml:space="preserve"> New systems, integrations, and configurations must deny access by default, encrypt by default, and log by default before entering production.</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No production PHI outside production.</w:t>
      </w:r>
      <w:r>
        <w:rPr>
          <w:rFonts w:ascii="Times New Roman" w:cs="Times New Roman" w:eastAsia="Times New Roman" w:hAnsi="Times New Roman"/>
          <w:color w:val="0F172A"/>
          <w:sz w:val="22"/>
          <w:szCs w:val="22"/>
        </w:rPr>
        <w:t xml:space="preserve"> ePHI shall not exist in development, test, staging, demonstration, or analytics environments; such environments use synthetic or de-identified data exclusively (ARKA-DEMO-001; ARKA-PRIV-002).</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Evidence or it did not happen.</w:t>
      </w:r>
      <w:r>
        <w:rPr>
          <w:rFonts w:ascii="Times New Roman" w:cs="Times New Roman" w:eastAsia="Times New Roman" w:hAnsi="Times New Roman"/>
          <w:color w:val="0F172A"/>
          <w:sz w:val="22"/>
          <w:szCs w:val="22"/>
        </w:rPr>
        <w:t xml:space="preserve"> Every recurring control activity required by this Policy series generates a dated artifact retained for six (6) years (45 C.F.R. § 164.316(b)).</w:t>
      </w:r>
    </w:p>
    <w:p>
      <w:pPr>
        <w:pStyle w:val="Heading1"/>
        <w:keepNext/>
        <w:pBdr>
          <w:bottom w:val="single" w:color="0D9488" w:sz="6" w:space="2"/>
        </w:pBdr>
        <w:spacing w:after="180" w:before="340"/>
      </w:pPr>
      <w:r>
        <w:rPr>
          <w:rFonts w:ascii="Arial" w:cs="Arial" w:eastAsia="Arial" w:hAnsi="Arial"/>
          <w:b/>
          <w:bCs/>
          <w:color w:val="0F172A"/>
          <w:sz w:val="24"/>
          <w:szCs w:val="24"/>
        </w:rPr>
        <w:t xml:space="preserve">3. SCOPE AND SYSTEM DESCRIPTION</w:t>
      </w:r>
    </w:p>
    <w:p>
      <w:pPr>
        <w:spacing w:after="160" w:line="264"/>
        <w:jc w:val="both"/>
      </w:pPr>
      <w:r>
        <w:rPr>
          <w:rFonts w:ascii="Times New Roman" w:cs="Times New Roman" w:eastAsia="Times New Roman" w:hAnsi="Times New Roman"/>
          <w:color w:val="0F172A"/>
          <w:sz w:val="22"/>
          <w:szCs w:val="22"/>
        </w:rPr>
        <w:t xml:space="preserve">This Policy applies to all information systems owned or operated by or on behalf of ARKA, including: the ARKA Platform application tier (Next.js services deployed on managed cloud infrastructure); managed database and authentication services (PostgreSQL via Supabase); cloud infrastructure accounts (Amazon Web Services and Vercel); source-code management and CI/CD (GitHub); corporate SaaS (productivity, communications); and Workforce Member endpoints. The Security Officer shall maintain, and review at least every twelve (12) months and upon material change, a </w:t>
      </w:r>
      <w:r>
        <w:rPr>
          <w:rFonts w:ascii="Times New Roman" w:cs="Times New Roman" w:eastAsia="Times New Roman" w:hAnsi="Times New Roman"/>
          <w:b/>
          <w:bCs/>
          <w:color w:val="0F172A"/>
          <w:sz w:val="22"/>
          <w:szCs w:val="22"/>
        </w:rPr>
        <w:t xml:space="preserve">technology asset inventory</w:t>
      </w:r>
      <w:r>
        <w:rPr>
          <w:rFonts w:ascii="Times New Roman" w:cs="Times New Roman" w:eastAsia="Times New Roman" w:hAnsi="Times New Roman"/>
          <w:color w:val="0F172A"/>
          <w:sz w:val="22"/>
          <w:szCs w:val="22"/>
        </w:rPr>
        <w:t xml:space="preserve"> and a </w:t>
      </w:r>
      <w:r>
        <w:rPr>
          <w:rFonts w:ascii="Times New Roman" w:cs="Times New Roman" w:eastAsia="Times New Roman" w:hAnsi="Times New Roman"/>
          <w:b/>
          <w:bCs/>
          <w:color w:val="0F172A"/>
          <w:sz w:val="22"/>
          <w:szCs w:val="22"/>
        </w:rPr>
        <w:t xml:space="preserve">network map</w:t>
      </w:r>
      <w:r>
        <w:rPr>
          <w:rFonts w:ascii="Times New Roman" w:cs="Times New Roman" w:eastAsia="Times New Roman" w:hAnsi="Times New Roman"/>
          <w:color w:val="0F172A"/>
          <w:sz w:val="22"/>
          <w:szCs w:val="22"/>
        </w:rPr>
        <w:t xml:space="preserve"> tracing the movement of ePHI through all such systems, consistent with proposed 45 C.F.R. § 164.308(a)(1) (90 Fed. Reg. 898).</w:t>
      </w:r>
    </w:p>
    <w:p>
      <w:pPr>
        <w:pStyle w:val="Heading1"/>
        <w:keepNext/>
        <w:pBdr>
          <w:bottom w:val="single" w:color="0D9488" w:sz="6" w:space="2"/>
        </w:pBdr>
        <w:spacing w:after="180" w:before="340"/>
      </w:pPr>
      <w:r>
        <w:rPr>
          <w:rFonts w:ascii="Arial" w:cs="Arial" w:eastAsia="Arial" w:hAnsi="Arial"/>
          <w:b/>
          <w:bCs/>
          <w:color w:val="0F172A"/>
          <w:sz w:val="24"/>
          <w:szCs w:val="24"/>
        </w:rPr>
        <w:t xml:space="preserve">4. CONTROL FRAMEWORK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Domain</w:t>
            </w:r>
          </w:p>
        </w:tc>
        <w:tc>
          <w:tcPr>
            <w:tcW w:type="dxa" w:w="312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Implementing policy</w:t>
            </w:r>
          </w:p>
        </w:tc>
        <w:tc>
          <w:tcPr>
            <w:tcW w:type="dxa" w:w="312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Primary citations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Risk analysis &amp; management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ARKA-SEC-002</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 164.308(a)(1); TSC CC3, CC9</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Workforce security; access</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ARKA-SEC-003</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 164.308(a)(3)–(4); § 164.312(a), (d); TSC CC6</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Encryption &amp; key management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ARKA-SEC-004</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 164.312(a)(2)(iv), (e); TSC CC6.7</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Logging &amp; monitoring</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ARKA-SEC-005</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 164.312(b); TSC CC7.2–7.3</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Incident response &amp; breach</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ARKA-SEC-006</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 164.308(a)(6); §§ 164.400–414; TSC CC7.4–7.5</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Contingency &amp; resilience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ARKA-SEC-007</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 164.308(a)(7); § 164.310(d); TSC A1</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Training &amp; sanctions</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ARKA-SEC-008</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 164.308(a)(1)(ii)(C), (a)(5); TSC CC1.4–1.5</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Vendor management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ARKA-SEC-009</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 164.308(b); § 164.314(a); TSC CC9.2</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SDLC &amp; change management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ARKA-SEC-010</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 164.312(c); TSC CC8.1</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Data lifecycle &amp; disposal</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ARKA-SEC-011</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 164.310(d)(2); TSC C1</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Acceptable use &amp; endpoints</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ARKA-SEC-012</w:t>
            </w:r>
          </w:p>
        </w:tc>
        <w:tc>
          <w:tcPr>
            <w:tcW w:type="dxa" w:w="312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 164.310(b)–(c); TSC CC6.8</w:t>
            </w:r>
          </w:p>
        </w:tc>
      </w:tr>
    </w:tbl>
    <w:p>
      <w:pPr>
        <w:spacing w:after="80" w:line="264"/>
        <w:jc w:val="both"/>
      </w:pPr>
    </w:p>
    <w:p>
      <w:pPr>
        <w:pStyle w:val="Heading1"/>
        <w:keepNext/>
        <w:pBdr>
          <w:bottom w:val="single" w:color="0D9488" w:sz="6" w:space="2"/>
        </w:pBdr>
        <w:spacing w:after="180" w:before="340"/>
      </w:pPr>
      <w:r>
        <w:rPr>
          <w:rFonts w:ascii="Arial" w:cs="Arial" w:eastAsia="Arial" w:hAnsi="Arial"/>
          <w:b/>
          <w:bCs/>
          <w:color w:val="0F172A"/>
          <w:sz w:val="24"/>
          <w:szCs w:val="24"/>
        </w:rPr>
        <w:t xml:space="preserve">5. BASELINE TECHNICAL STANDARDS</w:t>
      </w:r>
    </w:p>
    <w:p>
      <w:pPr>
        <w:spacing w:after="160" w:line="264"/>
        <w:jc w:val="both"/>
      </w:pPr>
      <w:r>
        <w:rPr>
          <w:rFonts w:ascii="Times New Roman" w:cs="Times New Roman" w:eastAsia="Times New Roman" w:hAnsi="Times New Roman"/>
          <w:color w:val="0F172A"/>
          <w:sz w:val="22"/>
          <w:szCs w:val="22"/>
        </w:rPr>
        <w:t xml:space="preserve">The following minimums apply across all in-scope systems and may be strengthened, but not weakened, by subordinate policies: (a) multi-factor authentication on every account capable of reaching production systems, source code, or ePHI; (b) TLS 1.2 or higher for all data in transit, with TLS 1.3 preferred and HTTP Strict Transport Security enforced on all public endpoints; (c) AES-256 (or equivalent) encryption at rest for all data stores and backups; (d) centralized, immutable audit logging with retention per ARKA-SEC-005; (e) vulnerability scanning of production infrastructure and dependencies no less than every six (6) months (in practice, continuously via automated dependency and static-analysis tooling) and penetration testing by a qualified independent firm no less than every twelve (12) months; (f) network segmentation separating production from non-production and corporate environments; and (g) hardening of cloud accounts to CIS Benchmark guidance, with infrastructure configuration managed as code wherever supported.</w:t>
      </w:r>
    </w:p>
    <w:p>
      <w:pPr>
        <w:pStyle w:val="Heading1"/>
        <w:keepNext/>
        <w:pBdr>
          <w:bottom w:val="single" w:color="0D9488" w:sz="6" w:space="2"/>
        </w:pBdr>
        <w:spacing w:after="180" w:before="340"/>
      </w:pPr>
      <w:r>
        <w:rPr>
          <w:rFonts w:ascii="Arial" w:cs="Arial" w:eastAsia="Arial" w:hAnsi="Arial"/>
          <w:b/>
          <w:bCs/>
          <w:color w:val="0F172A"/>
          <w:sz w:val="24"/>
          <w:szCs w:val="24"/>
        </w:rPr>
        <w:t xml:space="preserve">6. ORGANIZATION AND ENFORCEMENT</w:t>
      </w:r>
    </w:p>
    <w:p>
      <w:pPr>
        <w:spacing w:after="160" w:line="264"/>
        <w:jc w:val="both"/>
      </w:pPr>
      <w:r>
        <w:rPr>
          <w:rFonts w:ascii="Times New Roman" w:cs="Times New Roman" w:eastAsia="Times New Roman" w:hAnsi="Times New Roman"/>
          <w:color w:val="0F172A"/>
          <w:sz w:val="22"/>
          <w:szCs w:val="22"/>
        </w:rPr>
        <w:t xml:space="preserve">The Security Officer designated under ARKA-GOV-001 is accountable for this Policy and reports to the Chief Executive Officer and the Security &amp; Compliance Committee. Violations are sanctioned under ARKA-SEC-008. Exceptions require the written approval of the Security Officer, a compensating-control analysis, and an expiration date not exceeding ninety (90) days, recorded in the exception register.</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ARKA-SEC-001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ARKA-SEC-001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Information Security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Policy</dc:title>
  <dc:creator>ARKA Health, Inc.</dc:creator>
  <dc:description>Master security policy implementing 45 C.F.R. Part 164, Subpart C and the SOC 2 Security category</dc:description>
  <cp:lastModifiedBy>Un-named</cp:lastModifiedBy>
  <cp:revision>1</cp:revision>
  <dcterms:created xsi:type="dcterms:W3CDTF">2026-06-11T01:32:56.037Z</dcterms:created>
  <dcterms:modified xsi:type="dcterms:W3CDTF">2026-06-11T01:32:56.037Z</dcterms:modified>
</cp:coreProperties>
</file>

<file path=docProps/custom.xml><?xml version="1.0" encoding="utf-8"?>
<Properties xmlns="http://schemas.openxmlformats.org/officeDocument/2006/custom-properties" xmlns:vt="http://schemas.openxmlformats.org/officeDocument/2006/docPropsVTypes"/>
</file>