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RISK ANALYSIS &amp; RISK MANAGEMENT POLICY</w:t>
      </w:r>
    </w:p>
    <w:p>
      <w:pPr>
        <w:spacing w:after="60"/>
        <w:jc w:val="center"/>
      </w:pPr>
      <w:r>
        <w:rPr>
          <w:rFonts w:ascii="Arial" w:cs="Arial" w:eastAsia="Arial" w:hAnsi="Arial"/>
          <w:i/>
          <w:iCs/>
          <w:color w:val="475569"/>
          <w:sz w:val="21"/>
          <w:szCs w:val="21"/>
        </w:rPr>
        <w:t xml:space="preserve">Security management process under 45 C.F.R. § 164.308(a)(1) and NIST SP 800-30</w:t>
      </w:r>
    </w:p>
    <w:p>
      <w:pPr>
        <w:spacing w:after="320"/>
        <w:jc w:val="center"/>
      </w:pPr>
      <w:r>
        <w:rPr>
          <w:rFonts w:ascii="Arial" w:cs="Arial" w:eastAsia="Arial" w:hAnsi="Arial"/>
          <w:b/>
          <w:bCs/>
          <w:color w:val="0D9488"/>
          <w:spacing w:val="20"/>
          <w:sz w:val="17"/>
          <w:szCs w:val="17"/>
        </w:rPr>
        <w:t xml:space="preserve">ARKA-SEC-002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ARKA-SEC-002</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w:t>
      </w:r>
    </w:p>
    <w:p>
      <w:pPr>
        <w:spacing w:after="160" w:line="264"/>
        <w:jc w:val="both"/>
      </w:pPr>
      <w:r>
        <w:rPr>
          <w:rFonts w:ascii="Times New Roman" w:cs="Times New Roman" w:eastAsia="Times New Roman" w:hAnsi="Times New Roman"/>
          <w:color w:val="0F172A"/>
          <w:sz w:val="22"/>
          <w:szCs w:val="22"/>
        </w:rPr>
        <w:t xml:space="preserve">This Policy implements the Security Management Process standard, 45 C.F.R. § 164.308(a)(1), by establishing a recurring, documented process to (a) conduct an accurate and thorough assessment of the potential risks and vulnerabilities to the confidentiality, integrity, and availability of ePHI held by ARKA Health, Inc., and (b) implement security measures sufficient to reduce those risks and vulnerabilities to a reasonable and appropriate level.</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METHODOLOGY</w:t>
      </w:r>
    </w:p>
    <w:p>
      <w:pPr>
        <w:spacing w:after="160" w:line="264"/>
        <w:jc w:val="both"/>
      </w:pPr>
      <w:r>
        <w:rPr>
          <w:rFonts w:ascii="Times New Roman" w:cs="Times New Roman" w:eastAsia="Times New Roman" w:hAnsi="Times New Roman"/>
          <w:color w:val="0F172A"/>
          <w:sz w:val="22"/>
          <w:szCs w:val="22"/>
        </w:rPr>
        <w:t xml:space="preserve">Risk analyses shall follow the methodology of NIST Special Publication 800-30 (Rev. 1), informed by the Office for Civil Rights’ </w:t>
      </w:r>
      <w:r>
        <w:rPr>
          <w:rFonts w:ascii="Times New Roman" w:cs="Times New Roman" w:eastAsia="Times New Roman" w:hAnsi="Times New Roman"/>
          <w:i/>
          <w:iCs/>
          <w:color w:val="0F172A"/>
          <w:sz w:val="22"/>
          <w:szCs w:val="22"/>
        </w:rPr>
        <w:t xml:space="preserve">Guidance on Risk Analysis Requirements under the HIPAA Security Rule</w:t>
      </w:r>
      <w:r>
        <w:rPr>
          <w:rFonts w:ascii="Times New Roman" w:cs="Times New Roman" w:eastAsia="Times New Roman" w:hAnsi="Times New Roman"/>
          <w:color w:val="0F172A"/>
          <w:sz w:val="22"/>
          <w:szCs w:val="22"/>
        </w:rPr>
        <w:t xml:space="preserve"> and NIST SP 800-66 (Rev. 2). Each analysis shall:</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define the scope by reference to the current technology asset inventory and network map (ARKA-SEC-001, § 3), such that </w:t>
      </w:r>
      <w:r>
        <w:rPr>
          <w:rFonts w:ascii="Times New Roman" w:cs="Times New Roman" w:eastAsia="Times New Roman" w:hAnsi="Times New Roman"/>
          <w:b/>
          <w:bCs/>
          <w:color w:val="0F172A"/>
          <w:sz w:val="22"/>
          <w:szCs w:val="22"/>
        </w:rPr>
        <w:t xml:space="preserve">all</w:t>
      </w:r>
      <w:r>
        <w:rPr>
          <w:rFonts w:ascii="Times New Roman" w:cs="Times New Roman" w:eastAsia="Times New Roman" w:hAnsi="Times New Roman"/>
          <w:color w:val="0F172A"/>
          <w:sz w:val="22"/>
          <w:szCs w:val="22"/>
        </w:rPr>
        <w:t xml:space="preserve"> systems that create, receive, maintain, or transmit ePHI — or that could affect such systems — are included;</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identify and document reasonably anticipated threats (adversarial, accidental, structural, environmental) and vulnerabilities for each asset class;</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assess current controls against the ARKA-SEC policy series and applicable vendor attestations (SOC 2 reports of cloud providers);</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assign likelihood and impact ratings on a five-point scale and compute an inherent and residual risk rating for each threat–vulnerability pair;</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document risk-treatment decisions — remediate, mitigate, transfer, or accept — with owner and due date for each; acceptance of any risk rated High or Critical requires the written approval of the Chief Executive Officer; and</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record results in the risk register, which constitutes part of the documentation retained under 45 C.F.R. § 164.316(b).</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CADENCE AND TRIGGERS</w:t>
      </w:r>
    </w:p>
    <w:p>
      <w:pPr>
        <w:spacing w:after="160" w:line="264"/>
        <w:jc w:val="both"/>
      </w:pPr>
      <w:r>
        <w:rPr>
          <w:rFonts w:ascii="Times New Roman" w:cs="Times New Roman" w:eastAsia="Times New Roman" w:hAnsi="Times New Roman"/>
          <w:color w:val="0F172A"/>
          <w:sz w:val="22"/>
          <w:szCs w:val="22"/>
        </w:rPr>
        <w:t xml:space="preserve">A full risk analysis shall be performed no less than every twelve (12) months, and a targeted re-assessment shall be performed within thirty (30) days of: (a) any material architectural change (new data store, new subprocessor, new module processing ePHI); (b) any Security Incident classified Severity 2 or higher under ARKA-SEC-006; (c) execution of a BAA with materially new data scope; or (d) publication of a final rule materially amending the Security Rule. The initial enterprise risk assessment is documented in ARKA-RDY-001.</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RISK MANAGEMENT PLAN</w:t>
      </w:r>
    </w:p>
    <w:p>
      <w:pPr>
        <w:spacing w:after="160" w:line="264"/>
        <w:jc w:val="both"/>
      </w:pPr>
      <w:r>
        <w:rPr>
          <w:rFonts w:ascii="Times New Roman" w:cs="Times New Roman" w:eastAsia="Times New Roman" w:hAnsi="Times New Roman"/>
          <w:color w:val="0F172A"/>
          <w:sz w:val="22"/>
          <w:szCs w:val="22"/>
        </w:rPr>
        <w:t xml:space="preserve">The Security Officer shall maintain an annual risk-management plan that sequences remediation by residual risk, assigns owners and budgets, and is approved by the Security &amp; Compliance Committee. Progress shall be reviewed quarterly; items overdue by more than thirty (30) days shall be escalated to the Chief Executive Officer with a written corrective schedule.</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EVALUATION</w:t>
      </w:r>
    </w:p>
    <w:p>
      <w:pPr>
        <w:spacing w:after="160" w:line="264"/>
        <w:jc w:val="both"/>
      </w:pPr>
      <w:r>
        <w:rPr>
          <w:rFonts w:ascii="Times New Roman" w:cs="Times New Roman" w:eastAsia="Times New Roman" w:hAnsi="Times New Roman"/>
          <w:color w:val="0F172A"/>
          <w:sz w:val="22"/>
          <w:szCs w:val="22"/>
        </w:rPr>
        <w:t xml:space="preserve">In accordance with 45 C.F.R. § 164.308(a)(8), ARKA shall perform a written technical and nontechnical evaluation in response to environmental or operational changes affecting the security of ePHI, and in any event annually, assessing the extent to which the Company’s security policies and procedures meet the requirements of Subpart C. The annual evaluation may be satisfied by the combination of the annual risk analysis, penetration-test results, and the readiness assessments maintained under the ARKA-RDY series.</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ARKA-SEC-002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ARKA-SEC-002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Risk Analysis &amp; Risk Management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Analysis &amp; Risk Management Policy</dc:title>
  <dc:creator>ARKA Health, Inc.</dc:creator>
  <dc:description>Security management process under 45 C.F.R. § 164.308(a)(1) and NIST SP 800-30</dc:description>
  <cp:lastModifiedBy>Un-named</cp:lastModifiedBy>
  <cp:revision>1</cp:revision>
  <dcterms:created xsi:type="dcterms:W3CDTF">2026-06-11T01:32:56.121Z</dcterms:created>
  <dcterms:modified xsi:type="dcterms:W3CDTF">2026-06-11T01:32:56.121Z</dcterms:modified>
</cp:coreProperties>
</file>

<file path=docProps/custom.xml><?xml version="1.0" encoding="utf-8"?>
<Properties xmlns="http://schemas.openxmlformats.org/officeDocument/2006/custom-properties" xmlns:vt="http://schemas.openxmlformats.org/officeDocument/2006/docPropsVTypes"/>
</file>