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ACCESS CONTROL &amp; IDENTITY MANAGEMENT POLICY</w:t>
      </w:r>
    </w:p>
    <w:p>
      <w:pPr>
        <w:spacing w:after="60"/>
        <w:jc w:val="center"/>
      </w:pPr>
      <w:r>
        <w:rPr>
          <w:rFonts w:ascii="Arial" w:cs="Arial" w:eastAsia="Arial" w:hAnsi="Arial"/>
          <w:i/>
          <w:iCs/>
          <w:color w:val="475569"/>
          <w:sz w:val="21"/>
          <w:szCs w:val="21"/>
        </w:rPr>
        <w:t xml:space="preserve">Workforce security, information access management, and authentication — 45 C.F.R. §§ 164.308(a)(3)–(4), 164.312(a), 164.312(d)</w:t>
      </w:r>
    </w:p>
    <w:p>
      <w:pPr>
        <w:spacing w:after="320"/>
        <w:jc w:val="center"/>
      </w:pPr>
      <w:r>
        <w:rPr>
          <w:rFonts w:ascii="Arial" w:cs="Arial" w:eastAsia="Arial" w:hAnsi="Arial"/>
          <w:b/>
          <w:bCs/>
          <w:color w:val="0D9488"/>
          <w:spacing w:val="20"/>
          <w:sz w:val="17"/>
          <w:szCs w:val="17"/>
        </w:rPr>
        <w:t xml:space="preserve">ARKA-SEC-003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ARKA-SEC-003</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PURPOSE AND SCOPE</w:t>
      </w:r>
    </w:p>
    <w:p>
      <w:pPr>
        <w:spacing w:after="160" w:line="264"/>
        <w:jc w:val="both"/>
      </w:pPr>
      <w:r>
        <w:rPr>
          <w:rFonts w:ascii="Times New Roman" w:cs="Times New Roman" w:eastAsia="Times New Roman" w:hAnsi="Times New Roman"/>
          <w:color w:val="0F172A"/>
          <w:sz w:val="22"/>
          <w:szCs w:val="22"/>
        </w:rPr>
        <w:t xml:space="preserve">This Policy governs the authorization, establishment, modification, review, and termination of all human and machine access to ARKA Health, Inc. information systems, and the technical mechanisms by which identity is asserted and verified. It applies to every account — Workforce Member, contractor, service, and administrative — across production infrastructure, source control, corporate SaaS, and any system containing ePHI.</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ACCOUNT LIFECYCLE</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Authorization.</w:t>
      </w:r>
      <w:r>
        <w:rPr>
          <w:rFonts w:ascii="Times New Roman" w:cs="Times New Roman" w:eastAsia="Times New Roman" w:hAnsi="Times New Roman"/>
          <w:color w:val="0F172A"/>
          <w:sz w:val="22"/>
          <w:szCs w:val="22"/>
        </w:rPr>
        <w:t xml:space="preserve"> Access is granted only upon the documented approval of the Security Officer, by reference to a role in the access matrix. Each role enumerates the systems, environments, and data scopes it confers; no access is granted by default or by inheritance.</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Provisioning.</w:t>
      </w:r>
      <w:r>
        <w:rPr>
          <w:rFonts w:ascii="Times New Roman" w:cs="Times New Roman" w:eastAsia="Times New Roman" w:hAnsi="Times New Roman"/>
          <w:color w:val="0F172A"/>
          <w:sz w:val="22"/>
          <w:szCs w:val="22"/>
        </w:rPr>
        <w:t xml:space="preserve"> Accounts are unique to an individual; shared and generic interactive accounts are prohibited. Each account is attributable to a named person or a registered service identity (45 C.F.R. § 164.312(a)(2)(i)).</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Modification.</w:t>
      </w:r>
      <w:r>
        <w:rPr>
          <w:rFonts w:ascii="Times New Roman" w:cs="Times New Roman" w:eastAsia="Times New Roman" w:hAnsi="Times New Roman"/>
          <w:color w:val="0F172A"/>
          <w:sz w:val="22"/>
          <w:szCs w:val="22"/>
        </w:rPr>
        <w:t xml:space="preserve"> Role changes require re-approval; privileges not used for ninety (90) days are removed upon quarterly review.</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Termination.</w:t>
      </w:r>
      <w:r>
        <w:rPr>
          <w:rFonts w:ascii="Times New Roman" w:cs="Times New Roman" w:eastAsia="Times New Roman" w:hAnsi="Times New Roman"/>
          <w:color w:val="0F172A"/>
          <w:sz w:val="22"/>
          <w:szCs w:val="22"/>
        </w:rPr>
        <w:t xml:space="preserve"> Upon separation or role change of any Workforce Member, all access shall be revoked or adjusted within twenty-four (24) hours, and in the case of involuntary separation, prior to or contemporaneously with notification. A termination checklist (credentials, tokens, devices, repository and SaaS membership) shall be completed and retained (45 C.F.R. § 164.308(a)(3)(ii)(C)).</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Review.</w:t>
      </w:r>
      <w:r>
        <w:rPr>
          <w:rFonts w:ascii="Times New Roman" w:cs="Times New Roman" w:eastAsia="Times New Roman" w:hAnsi="Times New Roman"/>
          <w:color w:val="0F172A"/>
          <w:sz w:val="22"/>
          <w:szCs w:val="22"/>
        </w:rPr>
        <w:t xml:space="preserve"> The Security Officer shall conduct and document a quarterly access review of all production, source-control, and ePHI-relevant accounts, reconciling each account against the current workforce roster and the access matrix; discrepancies are treated as incidents under ARKA-SEC-006.</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AUTHENTICATION STANDARDS</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Multi-factor authentication</w:t>
      </w:r>
      <w:r>
        <w:rPr>
          <w:rFonts w:ascii="Times New Roman" w:cs="Times New Roman" w:eastAsia="Times New Roman" w:hAnsi="Times New Roman"/>
          <w:color w:val="0F172A"/>
          <w:sz w:val="22"/>
          <w:szCs w:val="22"/>
        </w:rPr>
        <w:t xml:space="preserve"> is mandatory for all access to production infrastructure, cloud consoles, source control, corporate identity, email, and any system containing ePHI. Phishing-resistant factors (FIDO2/WebAuthn hardware keys or platform passkeys) are required for administrative access; SMS one-time codes are prohibited as a second factor for administrative accounts.</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Passwords</w:t>
      </w:r>
      <w:r>
        <w:rPr>
          <w:rFonts w:ascii="Times New Roman" w:cs="Times New Roman" w:eastAsia="Times New Roman" w:hAnsi="Times New Roman"/>
          <w:color w:val="0F172A"/>
          <w:sz w:val="22"/>
          <w:szCs w:val="22"/>
        </w:rPr>
        <w:t xml:space="preserve">, where used, shall be a minimum of fourteen (14) characters, screened against known-compromised-credential lists, stored only as salted adaptive hashes, and never transmitted or stored in plaintext; mandatory periodic rotation is not required absent indication of compromise, consistent with NIST SP 800-63B.</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Session controls.</w:t>
      </w:r>
      <w:r>
        <w:rPr>
          <w:rFonts w:ascii="Times New Roman" w:cs="Times New Roman" w:eastAsia="Times New Roman" w:hAnsi="Times New Roman"/>
          <w:color w:val="0F172A"/>
          <w:sz w:val="22"/>
          <w:szCs w:val="22"/>
        </w:rPr>
        <w:t xml:space="preserve"> Application sessions enforce inactivity timeouts not exceeding fifteen (15) minutes for clinical-context interfaces and twenty-four (24) hours for administrative consoles, with automatic logoff (45 C.F.R. § 164.312(a)(2)(iii)); workstation screen locks engage at ten (10) minutes (ARKA-SEC-012).</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Secrets and keys.</w:t>
      </w:r>
      <w:r>
        <w:rPr>
          <w:rFonts w:ascii="Times New Roman" w:cs="Times New Roman" w:eastAsia="Times New Roman" w:hAnsi="Times New Roman"/>
          <w:color w:val="0F172A"/>
          <w:sz w:val="22"/>
          <w:szCs w:val="22"/>
        </w:rPr>
        <w:t xml:space="preserve"> Service credentials, API keys, and tokens are issued per-service with least privilege, stored in a managed secrets store (never in source code), rotated at least every twelve (12) months and immediately upon personnel separation or suspected exposure, and scanned for in CI to prevent repository leakage.</w:t>
      </w:r>
    </w:p>
    <w:p>
      <w:pPr>
        <w:pStyle w:val="ListParagraph"/>
        <w:numPr>
          <w:ilvl w:val="0"/>
          <w:numId w:val="3"/>
        </w:numPr>
        <w:spacing w:after="100" w:line="264"/>
        <w:jc w:val="both"/>
      </w:pPr>
      <w:r>
        <w:rPr>
          <w:rFonts w:ascii="Times New Roman" w:cs="Times New Roman" w:eastAsia="Times New Roman" w:hAnsi="Times New Roman"/>
          <w:b/>
          <w:bCs/>
          <w:color w:val="0F172A"/>
          <w:sz w:val="22"/>
          <w:szCs w:val="22"/>
        </w:rPr>
        <w:t xml:space="preserve">Emergency access.</w:t>
      </w:r>
      <w:r>
        <w:rPr>
          <w:rFonts w:ascii="Times New Roman" w:cs="Times New Roman" w:eastAsia="Times New Roman" w:hAnsi="Times New Roman"/>
          <w:color w:val="0F172A"/>
          <w:sz w:val="22"/>
          <w:szCs w:val="22"/>
        </w:rPr>
        <w:t xml:space="preserve"> A sealed break-glass procedure provides emergency access to ePHI-bearing systems where normal authentication is unavailable (45 C.F.R. § 164.312(a)(2)(ii)); each use generates an alert, requires dual notification to the Security Officer and CEO, and is reviewed within twenty-four (24) hours.</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PRIVILEGED ACCESS</w:t>
      </w:r>
    </w:p>
    <w:p>
      <w:pPr>
        <w:spacing w:after="160" w:line="264"/>
        <w:jc w:val="both"/>
      </w:pPr>
      <w:r>
        <w:rPr>
          <w:rFonts w:ascii="Times New Roman" w:cs="Times New Roman" w:eastAsia="Times New Roman" w:hAnsi="Times New Roman"/>
          <w:color w:val="0F172A"/>
          <w:sz w:val="22"/>
          <w:szCs w:val="22"/>
        </w:rPr>
        <w:t xml:space="preserve">Administrative privileges are confined to the minimum set of individuals required to operate the Company (at present, the founding engineering staff), are exercised through dedicated administrative roles rather than day-to-day accounts where the platform supports separation, and are logged in full under ARKA-SEC-005. Production database access for engineering support requires a ticketed justification and, where the underlying platform supports it, time-boxed credentials that expire within twenty-four (24) hours.</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CUSTOMER-FACING ACCESS CONTROLS</w:t>
      </w:r>
    </w:p>
    <w:p>
      <w:pPr>
        <w:spacing w:after="160" w:line="264"/>
        <w:jc w:val="both"/>
      </w:pPr>
      <w:r>
        <w:rPr>
          <w:rFonts w:ascii="Times New Roman" w:cs="Times New Roman" w:eastAsia="Times New Roman" w:hAnsi="Times New Roman"/>
          <w:color w:val="0F172A"/>
          <w:sz w:val="22"/>
          <w:szCs w:val="22"/>
        </w:rPr>
        <w:t xml:space="preserve">The ARKA Platform enforces tenant isolation at the data layer (row-level security keyed to tenant identifiers), role-based authorization within each tenant (clinician, administrative staff, reviewer, auditor), and authentication delegated to enterprise identity providers via SMART on FHIR / OAuth 2.0 and OpenID Connect for EHR-launched contexts. Customer administrative users manage their own workforce assignments; ARKA personnel access customer tenants only through the support-access workflow described in Section 4 and only as permitted by the applicable BAA.</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ARKA-SEC-003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ARKA-SEC-003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Access Control &amp; Identity Management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Control &amp; Identity Management Policy</dc:title>
  <dc:creator>ARKA Health, Inc.</dc:creator>
  <dc:description>Workforce security, information access management, and authentication — 45 C.F.R. §§ 164.308(a)(3)–(4), 164.312(a), 164.312(d)</dc:description>
  <cp:lastModifiedBy>Un-named</cp:lastModifiedBy>
  <cp:revision>1</cp:revision>
  <dcterms:created xsi:type="dcterms:W3CDTF">2026-06-11T01:32:56.151Z</dcterms:created>
  <dcterms:modified xsi:type="dcterms:W3CDTF">2026-06-11T01:32:56.151Z</dcterms:modified>
</cp:coreProperties>
</file>

<file path=docProps/custom.xml><?xml version="1.0" encoding="utf-8"?>
<Properties xmlns="http://schemas.openxmlformats.org/officeDocument/2006/custom-properties" xmlns:vt="http://schemas.openxmlformats.org/officeDocument/2006/docPropsVTypes"/>
</file>