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1428750" cy="1609725"/>
            <wp:effectExtent t="0" r="0" b="0" l="0"/>
            <wp:docPr id="1" name="arka-logo" descr="ARKA Health emblem" title="ARK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609725"/>
                    </a:xfrm>
                    <a:prstGeom prst="rect">
                      <a:avLst/>
                    </a:prstGeom>
                  </pic:spPr>
                </pic:pic>
              </a:graphicData>
            </a:graphic>
          </wp:inline>
        </w:drawing>
      </w:r>
    </w:p>
    <w:p>
      <w:pPr>
        <w:spacing w:after="40" w:before="160"/>
        <w:jc w:val="center"/>
      </w:pPr>
      <w:r>
        <w:rPr>
          <w:rFonts w:ascii="Arial" w:cs="Arial" w:eastAsia="Arial" w:hAnsi="Arial"/>
          <w:b/>
          <w:bCs/>
          <w:color w:val="334155"/>
          <w:spacing w:val="40"/>
          <w:sz w:val="22"/>
          <w:szCs w:val="22"/>
        </w:rPr>
        <w:t xml:space="preserve">ARKA HEALTH, INC.</w:t>
      </w:r>
    </w:p>
    <w:p>
      <w:pPr>
        <w:spacing w:after="80" w:before="200"/>
        <w:jc w:val="center"/>
      </w:pPr>
      <w:r>
        <w:rPr>
          <w:rFonts w:ascii="Arial" w:cs="Arial" w:eastAsia="Arial" w:hAnsi="Arial"/>
          <w:b/>
          <w:bCs/>
          <w:color w:val="0F172A"/>
          <w:sz w:val="40"/>
          <w:szCs w:val="40"/>
        </w:rPr>
        <w:t xml:space="preserve">ENCRYPTION &amp; KEY MANAGEMENT POLICY</w:t>
      </w:r>
    </w:p>
    <w:p>
      <w:pPr>
        <w:spacing w:after="60"/>
        <w:jc w:val="center"/>
      </w:pPr>
      <w:r>
        <w:rPr>
          <w:rFonts w:ascii="Arial" w:cs="Arial" w:eastAsia="Arial" w:hAnsi="Arial"/>
          <w:i/>
          <w:iCs/>
          <w:color w:val="475569"/>
          <w:sz w:val="21"/>
          <w:szCs w:val="21"/>
        </w:rPr>
        <w:t xml:space="preserve">Cryptographic protection of ePHI at rest and in transit — 45 C.F.R. §§ 164.312(a)(2)(iv), 164.312(e)(2)(ii)</w:t>
      </w:r>
    </w:p>
    <w:p>
      <w:pPr>
        <w:spacing w:after="320"/>
        <w:jc w:val="center"/>
      </w:pPr>
      <w:r>
        <w:rPr>
          <w:rFonts w:ascii="Arial" w:cs="Arial" w:eastAsia="Arial" w:hAnsi="Arial"/>
          <w:b/>
          <w:bCs/>
          <w:color w:val="0D9488"/>
          <w:spacing w:val="20"/>
          <w:sz w:val="17"/>
          <w:szCs w:val="17"/>
        </w:rPr>
        <w:t xml:space="preserve">ARKA-SEC-004  ·  Version 1.0  ·  Confidential —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No.</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ARKA-SEC-004</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Version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Effective Date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Last Reviewed</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Owner</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 — Privacy &amp; Security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Approved By</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Classification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Confidential — Internal</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Review Cycle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Annual, and upon any material change in operations, systems, or law</w:t>
            </w:r>
          </w:p>
        </w:tc>
      </w:tr>
    </w:tbl>
    <w:p>
      <w:pPr>
        <w:spacing w:after="0" w:before="420"/>
        <w:jc w:val="both"/>
      </w:pPr>
      <w:r>
        <w:rPr>
          <w:rFonts w:ascii="Times New Roman" w:cs="Times New Roman" w:eastAsia="Times New Roman" w:hAnsi="Times New Roman"/>
          <w:i/>
          <w:iCs/>
          <w:color w:val="475569"/>
          <w:sz w:val="17"/>
          <w:szCs w:val="17"/>
        </w:rPr>
        <w:t xml:space="preserve">This document contains confidential and proprietary information of ARKA Health, Inc. (“ARKA”). It is furnished for informational and compliance purposes, may not be reproduced or disclosed to any third party without the prior written consent of ARKA, and must be returned or destroyed upon request. Nothing in this document constitutes legal advice.</w:t>
      </w:r>
    </w:p>
    <w:p>
      <w:r>
        <w:br w:type="page"/>
      </w:r>
    </w:p>
    <w:p>
      <w:pPr>
        <w:pStyle w:val="Heading1"/>
        <w:keepNext/>
        <w:pBdr>
          <w:bottom w:val="single" w:color="0D9488" w:sz="6" w:space="2"/>
        </w:pBdr>
        <w:spacing w:after="180" w:before="340"/>
      </w:pPr>
      <w:r>
        <w:rPr>
          <w:rFonts w:ascii="Arial" w:cs="Arial" w:eastAsia="Arial" w:hAnsi="Arial"/>
          <w:b/>
          <w:bCs/>
          <w:color w:val="0F172A"/>
          <w:sz w:val="24"/>
          <w:szCs w:val="24"/>
        </w:rPr>
        <w:t xml:space="preserve">1. POLICY STATEMENT</w:t>
      </w:r>
    </w:p>
    <w:p>
      <w:pPr>
        <w:spacing w:after="160" w:line="264"/>
        <w:jc w:val="both"/>
      </w:pPr>
      <w:r>
        <w:rPr>
          <w:rFonts w:ascii="Times New Roman" w:cs="Times New Roman" w:eastAsia="Times New Roman" w:hAnsi="Times New Roman"/>
          <w:color w:val="0F172A"/>
          <w:sz w:val="22"/>
          <w:szCs w:val="22"/>
        </w:rPr>
        <w:t xml:space="preserve">ARKA Health, Inc. encrypts all electronic Protected Health Information, and all Company confidential information, at rest and in transit, without exception and without reliance on the historical “addressable” designation of the encryption implementation specifications. Unencrypted ePHI shall not exist on any ARKA system, medium, or transmission path. Encryption rendering ePHI unusable, unreadable, or indecipherable to unauthorized persons shall conform to the standards referenced in the HHS Guidance issued under section 13402(h)(2) of the HITECH Act, such that properly encrypted data qualifies as “secured” for purposes of the Breach Notification Rule.</w:t>
      </w:r>
    </w:p>
    <w:p>
      <w:pPr>
        <w:pStyle w:val="Heading1"/>
        <w:keepNext/>
        <w:pBdr>
          <w:bottom w:val="single" w:color="0D9488" w:sz="6" w:space="2"/>
        </w:pBdr>
        <w:spacing w:after="180" w:before="340"/>
      </w:pPr>
      <w:r>
        <w:rPr>
          <w:rFonts w:ascii="Arial" w:cs="Arial" w:eastAsia="Arial" w:hAnsi="Arial"/>
          <w:b/>
          <w:bCs/>
          <w:color w:val="0F172A"/>
          <w:sz w:val="24"/>
          <w:szCs w:val="24"/>
        </w:rPr>
        <w:t xml:space="preserve">2. APPROVED ALGORITHMS AND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Context</w:t>
            </w:r>
          </w:p>
        </w:tc>
        <w:tc>
          <w:tcPr>
            <w:tcW w:type="dxa" w:w="34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Standard</w:t>
            </w:r>
          </w:p>
        </w:tc>
        <w:tc>
          <w:tcPr>
            <w:tcW w:type="dxa" w:w="31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Prohibited</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Data at rest (databases, object storage, backups, snapshots)</w:t>
            </w:r>
          </w:p>
        </w:tc>
        <w:tc>
          <w:tcPr>
            <w:tcW w:type="dxa" w:w="3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AES-256 (GCM or XTS as platform-appropriate); FIPS 140-2/140-3 validated modules where available</w:t>
            </w:r>
          </w:p>
        </w:tc>
        <w:tc>
          <w:tcPr>
            <w:tcW w:type="dxa" w:w="3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DES, 3DES, RC4, ECB mode in any cipher</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Data in transit (external)</w:t>
            </w:r>
          </w:p>
        </w:tc>
        <w:tc>
          <w:tcPr>
            <w:tcW w:type="dxa" w:w="3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TLS 1.2 minimum, TLS 1.3 preferred; HSTS with one-year max-age on all public endpoints; certificates from publicly trusted CAs, auto-renewed</w:t>
            </w:r>
          </w:p>
        </w:tc>
        <w:tc>
          <w:tcPr>
            <w:tcW w:type="dxa" w:w="3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TLS ≤ 1.1, SSL, plaintext HTTP, opportunistic-only SMTP for messages containing ePHI</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Data in transit (internal / service-to-service)</w:t>
            </w:r>
          </w:p>
        </w:tc>
        <w:tc>
          <w:tcPr>
            <w:tcW w:type="dxa" w:w="3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TLS 1.2+ or provider-managed encrypted transport between availability zones</w:t>
            </w:r>
          </w:p>
        </w:tc>
        <w:tc>
          <w:tcPr>
            <w:tcW w:type="dxa" w:w="3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Unencrypted service meshes carrying ePHI</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Password storage</w:t>
            </w:r>
          </w:p>
        </w:tc>
        <w:tc>
          <w:tcPr>
            <w:tcW w:type="dxa" w:w="3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Salted adaptive hashing (bcrypt, scrypt, or Argon2id)</w:t>
            </w:r>
          </w:p>
        </w:tc>
        <w:tc>
          <w:tcPr>
            <w:tcW w:type="dxa" w:w="3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MD5, SHA-1/SHA-256 without salt and stretching</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Endpoint storage</w:t>
            </w:r>
          </w:p>
        </w:tc>
        <w:tc>
          <w:tcPr>
            <w:tcW w:type="dxa" w:w="3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Full-disk encryption (FileVault / BitLocker) enforced on all Workforce endpoints</w:t>
            </w:r>
          </w:p>
        </w:tc>
        <w:tc>
          <w:tcPr>
            <w:tcW w:type="dxa" w:w="3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Unencrypted laptops or removable media (removable media prohibited generally — ARKA-SEC-012)</w:t>
            </w:r>
          </w:p>
        </w:tc>
      </w:tr>
    </w:tbl>
    <w:p>
      <w:pPr>
        <w:spacing w:after="80" w:line="264"/>
        <w:jc w:val="both"/>
      </w:pPr>
    </w:p>
    <w:p>
      <w:pPr>
        <w:pStyle w:val="Heading1"/>
        <w:keepNext/>
        <w:pBdr>
          <w:bottom w:val="single" w:color="0D9488" w:sz="6" w:space="2"/>
        </w:pBdr>
        <w:spacing w:after="180" w:before="340"/>
      </w:pPr>
      <w:r>
        <w:rPr>
          <w:rFonts w:ascii="Arial" w:cs="Arial" w:eastAsia="Arial" w:hAnsi="Arial"/>
          <w:b/>
          <w:bCs/>
          <w:color w:val="0F172A"/>
          <w:sz w:val="24"/>
          <w:szCs w:val="24"/>
        </w:rPr>
        <w:t xml:space="preserve">3. KEY MANAGEMENT</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Generation and storage.</w:t>
      </w:r>
      <w:r>
        <w:rPr>
          <w:rFonts w:ascii="Times New Roman" w:cs="Times New Roman" w:eastAsia="Times New Roman" w:hAnsi="Times New Roman"/>
          <w:color w:val="0F172A"/>
          <w:sz w:val="22"/>
          <w:szCs w:val="22"/>
        </w:rPr>
        <w:t xml:space="preserve"> Cryptographic keys are generated and held in the managed key-management services of ARKA’s cloud providers (e.g., AWS KMS and the managed encryption layers of Vercel and Supabase); private keys shall not be exported, committed to source control, or stored on endpoints.</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Separation.</w:t>
      </w:r>
      <w:r>
        <w:rPr>
          <w:rFonts w:ascii="Times New Roman" w:cs="Times New Roman" w:eastAsia="Times New Roman" w:hAnsi="Times New Roman"/>
          <w:color w:val="0F172A"/>
          <w:sz w:val="22"/>
          <w:szCs w:val="22"/>
        </w:rPr>
        <w:t xml:space="preserve"> Key-administration privileges are separated from data-access privileges; no single role may both administer keys and hold unrestricted data access, except the break-glass identity described in ARKA-SEC-003, § 3(e).</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Rotation.</w:t>
      </w:r>
      <w:r>
        <w:rPr>
          <w:rFonts w:ascii="Times New Roman" w:cs="Times New Roman" w:eastAsia="Times New Roman" w:hAnsi="Times New Roman"/>
          <w:color w:val="0F172A"/>
          <w:sz w:val="22"/>
          <w:szCs w:val="22"/>
        </w:rPr>
        <w:t xml:space="preserve"> Provider-managed keys rotate per provider standard (at least annually); ARKA-managed application secrets rotate per ARKA-SEC-003, § 3(d). Compromise of any key requires immediate revocation, re-encryption assessment, and incident handling under ARKA-SEC-006.</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Backup keys.</w:t>
      </w:r>
      <w:r>
        <w:rPr>
          <w:rFonts w:ascii="Times New Roman" w:cs="Times New Roman" w:eastAsia="Times New Roman" w:hAnsi="Times New Roman"/>
          <w:color w:val="0F172A"/>
          <w:sz w:val="22"/>
          <w:szCs w:val="22"/>
        </w:rPr>
        <w:t xml:space="preserve"> Keys protecting backups are distinct from production data keys, so that compromise of one tier does not expose the other.</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Documentation.</w:t>
      </w:r>
      <w:r>
        <w:rPr>
          <w:rFonts w:ascii="Times New Roman" w:cs="Times New Roman" w:eastAsia="Times New Roman" w:hAnsi="Times New Roman"/>
          <w:color w:val="0F172A"/>
          <w:sz w:val="22"/>
          <w:szCs w:val="22"/>
        </w:rPr>
        <w:t xml:space="preserve"> The Security Officer maintains a key inventory (purpose, custodian, rotation date, validation status) reviewed at each annual risk analysis.</w:t>
      </w:r>
    </w:p>
    <w:p>
      <w:pPr>
        <w:pStyle w:val="Heading1"/>
        <w:keepNext/>
        <w:pBdr>
          <w:bottom w:val="single" w:color="0D9488" w:sz="6" w:space="2"/>
        </w:pBdr>
        <w:spacing w:after="180" w:before="340"/>
      </w:pPr>
      <w:r>
        <w:rPr>
          <w:rFonts w:ascii="Arial" w:cs="Arial" w:eastAsia="Arial" w:hAnsi="Arial"/>
          <w:b/>
          <w:bCs/>
          <w:color w:val="0F172A"/>
          <w:sz w:val="24"/>
          <w:szCs w:val="24"/>
        </w:rPr>
        <w:t xml:space="preserve">4. EXCEPTIONS</w:t>
      </w:r>
    </w:p>
    <w:p>
      <w:pPr>
        <w:spacing w:after="160" w:line="264"/>
        <w:jc w:val="both"/>
      </w:pPr>
      <w:r>
        <w:rPr>
          <w:rFonts w:ascii="Times New Roman" w:cs="Times New Roman" w:eastAsia="Times New Roman" w:hAnsi="Times New Roman"/>
          <w:color w:val="0F172A"/>
          <w:sz w:val="22"/>
          <w:szCs w:val="22"/>
        </w:rPr>
        <w:t xml:space="preserve">Because encryption is a non-waivable baseline of the Company, exceptions to this Policy are not available under the general exception process of ARKA-GOV-001. A transmission requested by a Customer over an unencrypted channel shall be declined and the requirement of this Policy communicated to the Customer in writing.</w:t>
      </w:r>
    </w:p>
    <w:p>
      <w:pPr>
        <w:pStyle w:val="Heading1"/>
        <w:keepNext/>
        <w:pBdr>
          <w:bottom w:val="single" w:color="0D9488" w:sz="6" w:space="2"/>
        </w:pBdr>
        <w:spacing w:after="180" w:before="340"/>
      </w:pPr>
      <w:r>
        <w:rPr>
          <w:rFonts w:ascii="Arial" w:cs="Arial" w:eastAsia="Arial" w:hAnsi="Arial"/>
          <w:b/>
          <w:bCs/>
          <w:color w:val="0F172A"/>
          <w:sz w:val="24"/>
          <w:szCs w:val="24"/>
        </w:rPr>
        <w:t xml:space="preserve">DOCUMENT CONTROL &amp;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tblHeader/>
        </w:trPr>
        <w:tc>
          <w:tcPr>
            <w:tcW w:type="dxa" w:w="1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Version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Date</w:t>
            </w:r>
          </w:p>
        </w:tc>
        <w:tc>
          <w:tcPr>
            <w:tcW w:type="dxa" w:w="2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Author / Reviewer</w:t>
            </w:r>
          </w:p>
        </w:tc>
        <w:tc>
          <w:tcPr>
            <w:tcW w:type="dxa" w:w="44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Description of Change</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0.9</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May 22,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(drafting); external review pending</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Initial draft circulated for internal review and counsel comment.</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Privacy &amp; Security Officer</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Adopted as effective policy of ARKA Health, Inc. by written approval of the undersigned officer.</w:t>
            </w:r>
          </w:p>
        </w:tc>
      </w:tr>
    </w:tbl>
    <w:p>
      <w:pPr>
        <w:pStyle w:val="Heading1"/>
        <w:keepNext/>
        <w:pBdr>
          <w:bottom w:val="single" w:color="0D9488" w:sz="6" w:space="2"/>
        </w:pBdr>
        <w:spacing w:after="180" w:before="340"/>
      </w:pPr>
      <w:r>
        <w:rPr>
          <w:rFonts w:ascii="Arial" w:cs="Arial" w:eastAsia="Arial" w:hAnsi="Arial"/>
          <w:b/>
          <w:bCs/>
          <w:color w:val="0F172A"/>
          <w:sz w:val="24"/>
          <w:szCs w:val="24"/>
        </w:rPr>
        <w:t xml:space="preserve">ADOPTION AND APPROVAL</w:t>
      </w:r>
    </w:p>
    <w:p>
      <w:pPr>
        <w:spacing w:after="160" w:line="264"/>
        <w:jc w:val="both"/>
      </w:pPr>
      <w:r>
        <w:rPr>
          <w:rFonts w:ascii="Times New Roman" w:cs="Times New Roman" w:eastAsia="Times New Roman" w:hAnsi="Times New Roman"/>
          <w:color w:val="0F172A"/>
          <w:sz w:val="22"/>
          <w:szCs w:val="22"/>
        </w:rPr>
        <w:t xml:space="preserve">The undersigned, being the duly designated Privacy Officer and Security Officer of ARKA Health, Inc., hereby adopts this document as an official policy of the Company, effective as of the Effective Date set forth on the cover page hereof. This document shall be reviewed no less frequently than annually and upon any material change to the Company’s operations, information systems, or applicable law, and may be amended only in accordance with ARKA-GOV-001 (Information Security &amp; Compliance Program Charter).</w:t>
      </w:r>
    </w:p>
    <w:p>
      <w:pPr>
        <w:spacing w:after="0" w:before="480"/>
      </w:pPr>
      <w:r>
        <w:rPr>
          <w:rFonts w:ascii="Arial" w:cs="Arial" w:eastAsia="Arial" w:hAnsi="Arial"/>
          <w:b/>
          <w:bCs/>
          <w:color w:val="0F172A"/>
          <w:sz w:val="20"/>
          <w:szCs w:val="20"/>
        </w:rPr>
        <w:t xml:space="preserve">ARKA HEALTH, INC.</w:t>
      </w:r>
    </w:p>
    <w:p>
      <w:pPr>
        <w:spacing w:after="0" w:before="360"/>
      </w:pPr>
      <w:r>
        <w:rPr>
          <w:rFonts w:ascii="Times New Roman" w:cs="Times New Roman" w:eastAsia="Times New Roman" w:hAnsi="Times New Roman"/>
          <w:color w:val="0F172A"/>
          <w:sz w:val="22"/>
          <w:szCs w:val="22"/>
        </w:rPr>
        <w:t xml:space="preserve">By: </w:t>
      </w:r>
      <w:r>
        <w:rPr>
          <w:rFonts w:ascii="Times New Roman" w:cs="Times New Roman" w:eastAsia="Times New Roman" w:hAnsi="Times New Roman"/>
          <w:color w:val="0F172A"/>
          <w:sz w:val="22"/>
          <w:szCs w:val="22"/>
        </w:rPr>
        <w:t xml:space="preserve">_________________________________</w:t>
      </w:r>
    </w:p>
    <w:p>
      <w:pPr>
        <w:spacing w:after="40" w:line="264"/>
        <w:jc w:val="both"/>
      </w:pPr>
      <w:r>
        <w:rPr>
          <w:rFonts w:ascii="Times New Roman" w:cs="Times New Roman" w:eastAsia="Times New Roman" w:hAnsi="Times New Roman"/>
          <w:color w:val="0F172A"/>
          <w:sz w:val="22"/>
          <w:szCs w:val="22"/>
        </w:rPr>
        <w:t xml:space="preserve">Name: Arri Kanna</w:t>
      </w:r>
    </w:p>
    <w:p>
      <w:pPr>
        <w:spacing w:after="40" w:line="264"/>
        <w:jc w:val="both"/>
      </w:pPr>
      <w:r>
        <w:rPr>
          <w:rFonts w:ascii="Times New Roman" w:cs="Times New Roman" w:eastAsia="Times New Roman" w:hAnsi="Times New Roman"/>
          <w:color w:val="0F172A"/>
          <w:sz w:val="22"/>
          <w:szCs w:val="22"/>
        </w:rPr>
        <w:t xml:space="preserve">Title: Founder &amp; Chief Executive Officer; Privacy &amp; Security Officer</w:t>
      </w:r>
    </w:p>
    <w:p>
      <w:pPr>
        <w:spacing w:after="200" w:line="264"/>
        <w:jc w:val="both"/>
      </w:pPr>
      <w:r>
        <w:rPr>
          <w:rFonts w:ascii="Times New Roman" w:cs="Times New Roman" w:eastAsia="Times New Roman" w:hAnsi="Times New Roman"/>
          <w:color w:val="0F172A"/>
          <w:sz w:val="22"/>
          <w:szCs w:val="22"/>
        </w:rPr>
        <w:t xml:space="preserve">Date: June 10,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ARKA-SEC-004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ARKA-SEC-004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spacing w:after="0"/>
    </w:pPr>
    <w:r>
      <w:drawing>
        <wp:inline distT="0" distB="0" distL="0" distR="0">
          <wp:extent cx="171450" cy="171450"/>
          <wp:effectExtent t="0" r="0" b="0" l="0"/>
          <wp:docPr id="1" name="arka-icon" descr="ARKA icon" title="AR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334155"/>
        <w:spacing w:val="20"/>
        <w:sz w:val="15"/>
        <w:szCs w:val="15"/>
      </w:rPr>
      <w:t xml:space="preserve">  ARKA HEALTH, INC.</w:t>
    </w:r>
    <w:r>
      <w:rPr>
        <w:rFonts w:ascii="Arial" w:cs="Arial" w:eastAsia="Arial" w:hAnsi="Arial"/>
        <w:color w:val="475569"/>
        <w:sz w:val="15"/>
        <w:szCs w:val="15"/>
      </w:rPr>
      <w:t xml:space="preserve">	Encryption &amp; Key Management Policy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0F172A"/>
      <w:sz w:val="24"/>
      <w:szCs w:val="24"/>
    </w:rPr>
  </w:style>
  <w:style w:type="paragraph" w:styleId="Heading2">
    <w:name w:val="Heading 2"/>
    <w:basedOn w:val="Normal"/>
    <w:next w:val="Normal"/>
    <w:qFormat/>
    <w:pPr>
      <w:spacing w:after="120" w:before="240"/>
      <w:outlineLvl w:val="1"/>
    </w:pPr>
    <w:rPr>
      <w:rFonts w:ascii="Arial" w:cs="Arial" w:eastAsia="Arial" w:hAnsi="Arial"/>
      <w:b/>
      <w:bCs/>
      <w:color w:val="1E293B"/>
      <w:sz w:val="21"/>
      <w:szCs w:val="21"/>
    </w:rPr>
  </w:style>
  <w:style w:type="paragraph" w:styleId="Heading3">
    <w:name w:val="Heading 3"/>
    <w:basedOn w:val="Normal"/>
    <w:next w:val="Normal"/>
    <w:qFormat/>
    <w:pPr>
      <w:spacing w:after="100" w:before="200"/>
      <w:outlineLvl w:val="2"/>
    </w:pPr>
    <w:rPr>
      <w:rFonts w:ascii="Arial" w:cs="Arial" w:eastAsia="Arial" w:hAnsi="Arial"/>
      <w:b/>
      <w:bCs/>
      <w:color w:val="3341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208546984c2f504325fcd1c4597d2e1f9e263f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e3b20100cc4e932cc408853299d534746fe5c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Encryption &amp; Key Management Policy</dc:title>
  <dc:creator>ARKA Health, Inc.</dc:creator>
  <dc:description>Cryptographic protection of ePHI at rest and in transit — 45 C.F.R. §§ 164.312(a)(2)(iv), 164.312(e)(2)(ii)</dc:description>
  <cp:lastModifiedBy>Un-named</cp:lastModifiedBy>
  <cp:revision>1</cp:revision>
  <dcterms:created xsi:type="dcterms:W3CDTF">2026-06-11T01:32:56.180Z</dcterms:created>
  <dcterms:modified xsi:type="dcterms:W3CDTF">2026-06-11T01:32:56.180Z</dcterms:modified>
</cp:coreProperties>
</file>

<file path=docProps/custom.xml><?xml version="1.0" encoding="utf-8"?>
<Properties xmlns="http://schemas.openxmlformats.org/officeDocument/2006/custom-properties" xmlns:vt="http://schemas.openxmlformats.org/officeDocument/2006/docPropsVTypes"/>
</file>