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AUDIT LOGGING &amp; MONITORING POLICY</w:t>
      </w:r>
    </w:p>
    <w:p>
      <w:pPr>
        <w:spacing w:after="60"/>
        <w:jc w:val="center"/>
      </w:pPr>
      <w:r>
        <w:rPr>
          <w:rFonts w:ascii="Arial" w:cs="Arial" w:eastAsia="Arial" w:hAnsi="Arial"/>
          <w:i/>
          <w:iCs/>
          <w:color w:val="475569"/>
          <w:sz w:val="21"/>
          <w:szCs w:val="21"/>
        </w:rPr>
        <w:t xml:space="preserve">Audit controls and information-system activity review — 45 C.F.R. §§ 164.312(b), 164.308(a)(1)(ii)(D)</w:t>
      </w:r>
    </w:p>
    <w:p>
      <w:pPr>
        <w:spacing w:after="320"/>
        <w:jc w:val="center"/>
      </w:pPr>
      <w:r>
        <w:rPr>
          <w:rFonts w:ascii="Arial" w:cs="Arial" w:eastAsia="Arial" w:hAnsi="Arial"/>
          <w:b/>
          <w:bCs/>
          <w:color w:val="0D9488"/>
          <w:spacing w:val="20"/>
          <w:sz w:val="17"/>
          <w:szCs w:val="17"/>
        </w:rPr>
        <w:t xml:space="preserve">ARKA-SEC-005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ARKA-SEC-005</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w:t>
      </w:r>
    </w:p>
    <w:p>
      <w:pPr>
        <w:spacing w:after="160" w:line="264"/>
        <w:jc w:val="both"/>
      </w:pPr>
      <w:r>
        <w:rPr>
          <w:rFonts w:ascii="Times New Roman" w:cs="Times New Roman" w:eastAsia="Times New Roman" w:hAnsi="Times New Roman"/>
          <w:color w:val="0F172A"/>
          <w:sz w:val="22"/>
          <w:szCs w:val="22"/>
        </w:rPr>
        <w:t xml:space="preserve">This Policy implements the Audit Controls standard, 45 C.F.R. § 164.312(b), and the Information System Activity Review implementation specification, 45 C.F.R. § 164.308(a)(1)(ii)(D), by requiring ARKA Health, Inc. to record and examine activity in information systems that contain or use ePHI, and to detect, in a timely manner, unauthorized access, anomalous behavior, and control failures.</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EVENTS RECORDED</w:t>
      </w:r>
    </w:p>
    <w:p>
      <w:pPr>
        <w:spacing w:after="160" w:line="264"/>
        <w:jc w:val="both"/>
      </w:pPr>
      <w:r>
        <w:rPr>
          <w:rFonts w:ascii="Times New Roman" w:cs="Times New Roman" w:eastAsia="Times New Roman" w:hAnsi="Times New Roman"/>
          <w:color w:val="0F172A"/>
          <w:sz w:val="22"/>
          <w:szCs w:val="22"/>
        </w:rPr>
        <w:t xml:space="preserve">At a minimum, in-scope systems shall log: authentication events (success, failure, MFA challenge outcomes, break-glass use); authorization failures; creation, reading, updating, deletion, and export of records containing ePHI, attributed to the acting identity and tenant; administrative actions (role grants, configuration changes, key operations); deployment events with the associated change identifier (ARKA-SEC-010); and security-relevant infrastructure events (provider audit trails such as AWS CloudTrail, Vercel audit logs, Supabase database logs). Each entry shall record the actor, action, object, tenant, timestamp in UTC, and originating source, synchronized to authoritative time.</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PROTECTION OF LOG DATA</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Logs are transmitted to centralized, access-controlled storage segregated from the systems that generate them; write access for producers is append-only, and modification or deletion of stored log entries is technically prevented for the duration of the retention period.</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Log content is minimized: application logs shall not record ePHI field values, authentication secrets, or full tokens; structured event identifiers and record references are used instead, consistent with the redaction conventions in docs/PHI_REDACTION.md of the platform repository.</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Access to logs is restricted to the Security Officer and designated engineering personnel and is itself logged.</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Security-relevant logs are retained </w:t>
      </w:r>
      <w:r>
        <w:rPr>
          <w:rFonts w:ascii="Times New Roman" w:cs="Times New Roman" w:eastAsia="Times New Roman" w:hAnsi="Times New Roman"/>
          <w:b/>
          <w:bCs/>
          <w:color w:val="0F172A"/>
          <w:sz w:val="22"/>
          <w:szCs w:val="22"/>
        </w:rPr>
        <w:t xml:space="preserve">six (6) years</w:t>
      </w:r>
      <w:r>
        <w:rPr>
          <w:rFonts w:ascii="Times New Roman" w:cs="Times New Roman" w:eastAsia="Times New Roman" w:hAnsi="Times New Roman"/>
          <w:color w:val="0F172A"/>
          <w:sz w:val="22"/>
          <w:szCs w:val="22"/>
        </w:rPr>
        <w:t xml:space="preserve"> in accordance with 45 C.F.R. § 164.316(b)(2)(i); high-volume operational telemetry without security relevance may follow shorter schedules under ARKA-SEC-011.</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REVIEW AND ALERTING</w:t>
      </w:r>
    </w:p>
    <w:p>
      <w:pPr>
        <w:spacing w:after="160" w:line="264"/>
        <w:jc w:val="both"/>
      </w:pPr>
      <w:r>
        <w:rPr>
          <w:rFonts w:ascii="Times New Roman" w:cs="Times New Roman" w:eastAsia="Times New Roman" w:hAnsi="Times New Roman"/>
          <w:color w:val="0F172A"/>
          <w:sz w:val="22"/>
          <w:szCs w:val="22"/>
        </w:rPr>
        <w:t xml:space="preserve">Automated alerting shall notify the Security Officer in near-real time of: repeated authentication failures and impossible-travel patterns; break-glass account use; privilege escalations; disabling or misconfiguration of logging; mass-export or anomalous-volume queries against ePHI stores; and production deployments outside change control. In addition to automated alerting, the Security Officer shall conduct and document a </w:t>
      </w:r>
      <w:r>
        <w:rPr>
          <w:rFonts w:ascii="Times New Roman" w:cs="Times New Roman" w:eastAsia="Times New Roman" w:hAnsi="Times New Roman"/>
          <w:b/>
          <w:bCs/>
          <w:color w:val="0F172A"/>
          <w:sz w:val="22"/>
          <w:szCs w:val="22"/>
        </w:rPr>
        <w:t xml:space="preserve">weekly</w:t>
      </w:r>
      <w:r>
        <w:rPr>
          <w:rFonts w:ascii="Times New Roman" w:cs="Times New Roman" w:eastAsia="Times New Roman" w:hAnsi="Times New Roman"/>
          <w:color w:val="0F172A"/>
          <w:sz w:val="22"/>
          <w:szCs w:val="22"/>
        </w:rPr>
        <w:t xml:space="preserve"> review of security dashboards and a </w:t>
      </w:r>
      <w:r>
        <w:rPr>
          <w:rFonts w:ascii="Times New Roman" w:cs="Times New Roman" w:eastAsia="Times New Roman" w:hAnsi="Times New Roman"/>
          <w:b/>
          <w:bCs/>
          <w:color w:val="0F172A"/>
          <w:sz w:val="22"/>
          <w:szCs w:val="22"/>
        </w:rPr>
        <w:t xml:space="preserve">monthly</w:t>
      </w:r>
      <w:r>
        <w:rPr>
          <w:rFonts w:ascii="Times New Roman" w:cs="Times New Roman" w:eastAsia="Times New Roman" w:hAnsi="Times New Roman"/>
          <w:color w:val="0F172A"/>
          <w:sz w:val="22"/>
          <w:szCs w:val="22"/>
        </w:rPr>
        <w:t xml:space="preserve"> sampled review of access logs for ePHI-bearing systems, with findings, escalations, and corrective actions recorded in the activity-review log. Suspected incidents identified through review are handled under ARKA-SEC-006.</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CUSTOMER AUDIT SUPPORT</w:t>
      </w:r>
    </w:p>
    <w:p>
      <w:pPr>
        <w:spacing w:after="160" w:line="264"/>
        <w:jc w:val="both"/>
      </w:pPr>
      <w:r>
        <w:rPr>
          <w:rFonts w:ascii="Times New Roman" w:cs="Times New Roman" w:eastAsia="Times New Roman" w:hAnsi="Times New Roman"/>
          <w:color w:val="0F172A"/>
          <w:sz w:val="22"/>
          <w:szCs w:val="22"/>
        </w:rPr>
        <w:t xml:space="preserve">Where required by a BAA, ARKA shall make available to a Customer, within fifteen (15) business days of a written request, audit-trail extracts pertaining to that Customer’s tenant sufficient to support the Customer’s own § 164.308(a)(1)(ii)(D) reviews and accounting obligations, in a machine-readable format.</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ARKA-SEC-005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ARKA-SEC-005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Audit Logging &amp; Monitoring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Logging &amp; Monitoring Policy</dc:title>
  <dc:creator>ARKA Health, Inc.</dc:creator>
  <dc:description>Audit controls and information-system activity review — 45 C.F.R. §§ 164.312(b), 164.308(a)(1)(ii)(D)</dc:description>
  <cp:lastModifiedBy>Un-named</cp:lastModifiedBy>
  <cp:revision>1</cp:revision>
  <dcterms:created xsi:type="dcterms:W3CDTF">2026-06-11T01:32:56.261Z</dcterms:created>
  <dcterms:modified xsi:type="dcterms:W3CDTF">2026-06-11T01:32:56.261Z</dcterms:modified>
</cp:coreProperties>
</file>

<file path=docProps/custom.xml><?xml version="1.0" encoding="utf-8"?>
<Properties xmlns="http://schemas.openxmlformats.org/officeDocument/2006/custom-properties" xmlns:vt="http://schemas.openxmlformats.org/officeDocument/2006/docPropsVTypes"/>
</file>