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SECURITY INCIDENT RESPONSE &amp; BREACH NOTIFICATION PLAN</w:t>
      </w:r>
    </w:p>
    <w:p>
      <w:pPr>
        <w:spacing w:after="60"/>
        <w:jc w:val="center"/>
      </w:pPr>
      <w:r>
        <w:rPr>
          <w:rFonts w:ascii="Arial" w:cs="Arial" w:eastAsia="Arial" w:hAnsi="Arial"/>
          <w:i/>
          <w:iCs/>
          <w:color w:val="475569"/>
          <w:sz w:val="21"/>
          <w:szCs w:val="21"/>
        </w:rPr>
        <w:t xml:space="preserve">Incident procedures under 45 C.F.R. § 164.308(a)(6); breach assessment and notification under 45 C.F.R. §§ 164.400–414</w:t>
      </w:r>
    </w:p>
    <w:p>
      <w:pPr>
        <w:spacing w:after="320"/>
        <w:jc w:val="center"/>
      </w:pPr>
      <w:r>
        <w:rPr>
          <w:rFonts w:ascii="Arial" w:cs="Arial" w:eastAsia="Arial" w:hAnsi="Arial"/>
          <w:b/>
          <w:bCs/>
          <w:color w:val="0D9488"/>
          <w:spacing w:val="20"/>
          <w:sz w:val="17"/>
          <w:szCs w:val="17"/>
        </w:rPr>
        <w:t xml:space="preserve">ARKA-SEC-006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DEFINITIONS</w:t>
      </w:r>
    </w:p>
    <w:p>
      <w:pPr>
        <w:spacing w:after="160" w:line="264"/>
        <w:jc w:val="both"/>
      </w:pPr>
      <w:r>
        <w:rPr>
          <w:rFonts w:ascii="Times New Roman" w:cs="Times New Roman" w:eastAsia="Times New Roman" w:hAnsi="Times New Roman"/>
          <w:color w:val="0F172A"/>
          <w:sz w:val="22"/>
          <w:szCs w:val="22"/>
        </w:rPr>
        <w:t xml:space="preserve">This Plan establishes the procedures by which ARKA Health, Inc. identifies, responds to, mitigates, documents, and provides notification concerning Security Incidents and Breaches. “</w:t>
      </w:r>
      <w:r>
        <w:rPr>
          <w:rFonts w:ascii="Times New Roman" w:cs="Times New Roman" w:eastAsia="Times New Roman" w:hAnsi="Times New Roman"/>
          <w:b/>
          <w:bCs/>
          <w:color w:val="0F172A"/>
          <w:sz w:val="22"/>
          <w:szCs w:val="22"/>
        </w:rPr>
        <w:t xml:space="preserve">Security Incident</w:t>
      </w:r>
      <w:r>
        <w:rPr>
          <w:rFonts w:ascii="Times New Roman" w:cs="Times New Roman" w:eastAsia="Times New Roman" w:hAnsi="Times New Roman"/>
          <w:color w:val="0F172A"/>
          <w:sz w:val="22"/>
          <w:szCs w:val="22"/>
        </w:rPr>
        <w:t xml:space="preserve">” has the meaning at 45 C.F.R. § 164.304: the attempted or successful unauthorized access, use, disclosure, modification, or destruction of information or interference with system operations in an information system. “</w:t>
      </w:r>
      <w:r>
        <w:rPr>
          <w:rFonts w:ascii="Times New Roman" w:cs="Times New Roman" w:eastAsia="Times New Roman" w:hAnsi="Times New Roman"/>
          <w:b/>
          <w:bCs/>
          <w:color w:val="0F172A"/>
          <w:sz w:val="22"/>
          <w:szCs w:val="22"/>
        </w:rPr>
        <w:t xml:space="preserve">Breach</w:t>
      </w:r>
      <w:r>
        <w:rPr>
          <w:rFonts w:ascii="Times New Roman" w:cs="Times New Roman" w:eastAsia="Times New Roman" w:hAnsi="Times New Roman"/>
          <w:color w:val="0F172A"/>
          <w:sz w:val="22"/>
          <w:szCs w:val="22"/>
        </w:rPr>
        <w:t xml:space="preserve">” has the meaning at 45 C.F.R. § 164.402, subject to the exclusions and the risk-assessment presumption stated therein. “</w:t>
      </w:r>
      <w:r>
        <w:rPr>
          <w:rFonts w:ascii="Times New Roman" w:cs="Times New Roman" w:eastAsia="Times New Roman" w:hAnsi="Times New Roman"/>
          <w:b/>
          <w:bCs/>
          <w:color w:val="0F172A"/>
          <w:sz w:val="22"/>
          <w:szCs w:val="22"/>
        </w:rPr>
        <w:t xml:space="preserve">Discovery</w:t>
      </w:r>
      <w:r>
        <w:rPr>
          <w:rFonts w:ascii="Times New Roman" w:cs="Times New Roman" w:eastAsia="Times New Roman" w:hAnsi="Times New Roman"/>
          <w:color w:val="0F172A"/>
          <w:sz w:val="22"/>
          <w:szCs w:val="22"/>
        </w:rPr>
        <w:t xml:space="preserve">” occurs on the first day a Security Incident or Breach is known to ARKA, or by exercising reasonable diligence would have been known to ARKA, per §§ 164.404(a)(2) and 164.410(a)(2).</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ROLES</w:t>
      </w:r>
    </w:p>
    <w:p>
      <w:pPr>
        <w:spacing w:after="160" w:line="264"/>
        <w:jc w:val="both"/>
      </w:pPr>
      <w:r>
        <w:rPr>
          <w:rFonts w:ascii="Times New Roman" w:cs="Times New Roman" w:eastAsia="Times New Roman" w:hAnsi="Times New Roman"/>
          <w:color w:val="0F172A"/>
          <w:sz w:val="22"/>
          <w:szCs w:val="22"/>
        </w:rPr>
        <w:t xml:space="preserve">The Security Officer serves as Incident Commander. The Incident Commander may convene an incident team including engineering personnel, outside counsel, the Company’s cyber-liability insurer, and forensic specialists. Only the Chief Executive Officer or outside counsel may make external statements concerning an incident; Workforce Members shall route all inquiries to the Incident Commander.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Severity</w:t>
            </w:r>
          </w:p>
        </w:tc>
        <w:tc>
          <w:tcPr>
            <w:tcW w:type="dxa" w:w="4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Definition</w:t>
            </w:r>
          </w:p>
        </w:tc>
        <w:tc>
          <w:tcPr>
            <w:tcW w:type="dxa" w:w="36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Initial response objective</w:t>
            </w:r>
          </w:p>
        </w:tc>
      </w:tr>
      <w:tr>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SEV-1</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Confirmed or reasonably suspected unauthorized access to, or acquisition of, ePHI; ransomware on any production system; sustained loss of platform integrity</w:t>
            </w:r>
          </w:p>
        </w:tc>
        <w:tc>
          <w:tcPr>
            <w:tcW w:type="dxa" w:w="3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Containment actions initiated within one (1) hour of discovery; CEO and counsel engaged same day</w:t>
            </w:r>
          </w:p>
        </w:tc>
      </w:tr>
      <w:tr>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SEV-2</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Compromise of a Workforce credential, endpoint, or non-ePHI production system without confirmed ePHI exposure; material control failure</w:t>
            </w:r>
          </w:p>
        </w:tc>
        <w:tc>
          <w:tcPr>
            <w:tcW w:type="dxa" w:w="3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Containment within four (4) hours; assessment of ePHI exposure within twenty-four (24) hours</w:t>
            </w:r>
          </w:p>
        </w:tc>
      </w:tr>
      <w:tr>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SEV-3</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Policy violations, attempted intrusions, and anomalies without evidence of compromise (incl. Unsuccessful Security Incidents)</w:t>
            </w:r>
          </w:p>
        </w:tc>
        <w:tc>
          <w:tcPr>
            <w:tcW w:type="dxa" w:w="3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Triage within two (2) business days; logged and trended</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4. RESPONSE PHASES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Identification and reporting.</w:t>
      </w:r>
      <w:r>
        <w:rPr>
          <w:rFonts w:ascii="Times New Roman" w:cs="Times New Roman" w:eastAsia="Times New Roman" w:hAnsi="Times New Roman"/>
          <w:color w:val="0F172A"/>
          <w:sz w:val="22"/>
          <w:szCs w:val="22"/>
        </w:rPr>
        <w:t xml:space="preserve"> Every Workforce Member shall report a suspected incident immediately, and in no event later than twenty-four (24) hours after becoming aware, to security@getarka.health. External parties may report vulnerabilities to the same address, which is published on the Company’s website; good-faith security research conducted within the published scope shall not be the subject of legal action by the Company.</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Containment.</w:t>
      </w:r>
      <w:r>
        <w:rPr>
          <w:rFonts w:ascii="Times New Roman" w:cs="Times New Roman" w:eastAsia="Times New Roman" w:hAnsi="Times New Roman"/>
          <w:color w:val="0F172A"/>
          <w:sz w:val="22"/>
          <w:szCs w:val="22"/>
        </w:rPr>
        <w:t xml:space="preserve"> The Incident Commander shall isolate affected systems, revoke implicated credentials and tokens, preserve volatile evidence before destructive remediation, and snapshot affected storage.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Eradication and recovery.</w:t>
      </w:r>
      <w:r>
        <w:rPr>
          <w:rFonts w:ascii="Times New Roman" w:cs="Times New Roman" w:eastAsia="Times New Roman" w:hAnsi="Times New Roman"/>
          <w:color w:val="0F172A"/>
          <w:sz w:val="22"/>
          <w:szCs w:val="22"/>
        </w:rPr>
        <w:t xml:space="preserve"> Root cause shall be identified and removed; systems are restored from trusted artifacts and backups (ARKA-SEC-007); restored systems are monitored at heightened sensitivity for no fewer than fourteen (14) days.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Forensic preservation.</w:t>
      </w:r>
      <w:r>
        <w:rPr>
          <w:rFonts w:ascii="Times New Roman" w:cs="Times New Roman" w:eastAsia="Times New Roman" w:hAnsi="Times New Roman"/>
          <w:color w:val="0F172A"/>
          <w:sz w:val="22"/>
          <w:szCs w:val="22"/>
        </w:rPr>
        <w:t xml:space="preserve"> A chain-of-custody record shall be maintained for all evidence; clocks, log extracts, and system images are preserved in the incident file for six (6) years.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Post-incident review.</w:t>
      </w:r>
      <w:r>
        <w:rPr>
          <w:rFonts w:ascii="Times New Roman" w:cs="Times New Roman" w:eastAsia="Times New Roman" w:hAnsi="Times New Roman"/>
          <w:color w:val="0F172A"/>
          <w:sz w:val="22"/>
          <w:szCs w:val="22"/>
        </w:rPr>
        <w:t xml:space="preserve"> For SEV-1 and SEV-2 incidents, a written post-incident report — timeline, root cause, data-exposure analysis, corrective actions with owners and dates — shall be completed within ten (10) business days of closure and presented to the Security &amp; Compliance Committee.</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BREACH RISK ASSESSMENT</w:t>
      </w:r>
    </w:p>
    <w:p>
      <w:pPr>
        <w:spacing w:after="160" w:line="264"/>
        <w:jc w:val="both"/>
      </w:pPr>
      <w:r>
        <w:rPr>
          <w:rFonts w:ascii="Times New Roman" w:cs="Times New Roman" w:eastAsia="Times New Roman" w:hAnsi="Times New Roman"/>
          <w:color w:val="0F172A"/>
          <w:sz w:val="22"/>
          <w:szCs w:val="22"/>
        </w:rPr>
        <w:t xml:space="preserve">An impermissible acquisition, access, use, or disclosure of unsecured PHI is </w:t>
      </w:r>
      <w:r>
        <w:rPr>
          <w:rFonts w:ascii="Times New Roman" w:cs="Times New Roman" w:eastAsia="Times New Roman" w:hAnsi="Times New Roman"/>
          <w:b/>
          <w:bCs/>
          <w:color w:val="0F172A"/>
          <w:sz w:val="22"/>
          <w:szCs w:val="22"/>
        </w:rPr>
        <w:t xml:space="preserve">presumed</w:t>
      </w:r>
      <w:r>
        <w:rPr>
          <w:rFonts w:ascii="Times New Roman" w:cs="Times New Roman" w:eastAsia="Times New Roman" w:hAnsi="Times New Roman"/>
          <w:color w:val="0F172A"/>
          <w:sz w:val="22"/>
          <w:szCs w:val="22"/>
        </w:rPr>
        <w:t xml:space="preserve"> a Breach unless ARKA (in coordination with the affected Customer, as the BAA provides) demonstrates a low probability of compromise through a documented risk assessment addressing, at minimum, the four factors of 45 C.F.R. § 164.402(2): (i) the nature and extent of the PHI involved, including identifiers and likelihood of re-identification; (ii) the unauthorized person who used the PHI or to whom disclosure was made; (iii) whether the PHI was actually acquired or viewed; and (iv) the extent to which the risk has been mitigated. Each assessment, including its conclusion and approver, shall be retained for six (6) years. Encryption consistent with ARKA-SEC-004 renders PHI “secured”; the loss of properly encrypted data without the key is not a Breach of unsecured PHI.</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NOTIFICATION OBLIGATIONS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As business associate.</w:t>
      </w:r>
      <w:r>
        <w:rPr>
          <w:rFonts w:ascii="Times New Roman" w:cs="Times New Roman" w:eastAsia="Times New Roman" w:hAnsi="Times New Roman"/>
          <w:color w:val="0F172A"/>
          <w:sz w:val="22"/>
          <w:szCs w:val="22"/>
        </w:rPr>
        <w:t xml:space="preserve"> ARKA shall notify each affected Customer of a Breach of unsecured PHI without unreasonable delay and in no event later than the period specified in the applicable BAA (ten (10) business days under ARKA-LGL-001) and shall provide the content described at 45 C.F.R. § 164.410(c), supplementing as information becomes available. Unless the BAA provides otherwise, notification to individuals, the Secretary, and the media under §§ 164.404–164.406 is the Customer’s obligation; ARKA shall provide all reasonable cooperation.</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Where delegated.</w:t>
      </w:r>
      <w:r>
        <w:rPr>
          <w:rFonts w:ascii="Times New Roman" w:cs="Times New Roman" w:eastAsia="Times New Roman" w:hAnsi="Times New Roman"/>
          <w:color w:val="0F172A"/>
          <w:sz w:val="22"/>
          <w:szCs w:val="22"/>
        </w:rPr>
        <w:t xml:space="preserve"> If a BAA delegates individual notification to ARKA, ARKA shall provide written notice by first-class mail (or email where the individual has agreed) without unreasonable delay and within sixty (60) days of discovery, containing the elements of § 164.404(c); substitute notice, media notice for five hundred (500) or more residents of a state, and notice to the Secretary shall follow §§ 164.404(d), 164.406, and 164.408 respectively.</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Law enforcement delay.</w:t>
      </w:r>
      <w:r>
        <w:rPr>
          <w:rFonts w:ascii="Times New Roman" w:cs="Times New Roman" w:eastAsia="Times New Roman" w:hAnsi="Times New Roman"/>
          <w:color w:val="0F172A"/>
          <w:sz w:val="22"/>
          <w:szCs w:val="22"/>
        </w:rPr>
        <w:t xml:space="preserve"> Notification may be delayed upon the documented request of a law-enforcement official in accordance with 45 C.F.R. § 164.412.</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State law.</w:t>
      </w:r>
      <w:r>
        <w:rPr>
          <w:rFonts w:ascii="Times New Roman" w:cs="Times New Roman" w:eastAsia="Times New Roman" w:hAnsi="Times New Roman"/>
          <w:color w:val="0F172A"/>
          <w:sz w:val="22"/>
          <w:szCs w:val="22"/>
        </w:rPr>
        <w:t xml:space="preserve"> Counsel shall be consulted regarding state breach-notification statutes, which may impose shorter deadlines, regulator notices, or content requirements beyond HIPAA; the more stringent requirement governs.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Insurance and contracts.</w:t>
      </w:r>
      <w:r>
        <w:rPr>
          <w:rFonts w:ascii="Times New Roman" w:cs="Times New Roman" w:eastAsia="Times New Roman" w:hAnsi="Times New Roman"/>
          <w:color w:val="0F172A"/>
          <w:sz w:val="22"/>
          <w:szCs w:val="22"/>
        </w:rPr>
        <w:t xml:space="preserve"> The Incident Commander shall provide timely notice under the Company’s cyber-liability policy and any contractual notice provisions beyond the BAA.</w:t>
      </w:r>
    </w:p>
    <w:p>
      <w:pPr>
        <w:pStyle w:val="Heading1"/>
        <w:keepNext/>
        <w:pBdr>
          <w:bottom w:val="single" w:color="0D9488" w:sz="6" w:space="2"/>
        </w:pBdr>
        <w:spacing w:after="180" w:before="340"/>
      </w:pPr>
      <w:r>
        <w:rPr>
          <w:rFonts w:ascii="Arial" w:cs="Arial" w:eastAsia="Arial" w:hAnsi="Arial"/>
          <w:b/>
          <w:bCs/>
          <w:color w:val="0F172A"/>
          <w:sz w:val="24"/>
          <w:szCs w:val="24"/>
        </w:rPr>
        <w:t xml:space="preserve">7. TESTING</w:t>
      </w:r>
    </w:p>
    <w:p>
      <w:pPr>
        <w:spacing w:after="160" w:line="264"/>
        <w:jc w:val="both"/>
      </w:pPr>
      <w:r>
        <w:rPr>
          <w:rFonts w:ascii="Times New Roman" w:cs="Times New Roman" w:eastAsia="Times New Roman" w:hAnsi="Times New Roman"/>
          <w:color w:val="0F172A"/>
          <w:sz w:val="22"/>
          <w:szCs w:val="22"/>
        </w:rPr>
        <w:t xml:space="preserve">This Plan shall be exercised at least annually by tabletop simulation, including at least one scenario involving ransomware and one involving compromise of a managed subprocessor, with results and improvement items documented and tracked to closure.</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ARKA-SEC-006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ARKA-SEC-006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Security Incident Response &amp; Breach Notification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Response &amp; Breach Notification Plan</dc:title>
  <dc:creator>ARKA Health, Inc.</dc:creator>
  <dc:description>Incident procedures under 45 C.F.R. § 164.308(a)(6); breach assessment and notification under 45 C.F.R. §§ 164.400–414</dc:description>
  <cp:lastModifiedBy>Un-named</cp:lastModifiedBy>
  <cp:revision>1</cp:revision>
  <dcterms:created xsi:type="dcterms:W3CDTF">2026-06-11T01:32:56.338Z</dcterms:created>
  <dcterms:modified xsi:type="dcterms:W3CDTF">2026-06-11T01:32:56.338Z</dcterms:modified>
</cp:coreProperties>
</file>

<file path=docProps/custom.xml><?xml version="1.0" encoding="utf-8"?>
<Properties xmlns="http://schemas.openxmlformats.org/officeDocument/2006/custom-properties" xmlns:vt="http://schemas.openxmlformats.org/officeDocument/2006/docPropsVTypes"/>
</file>