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CONTINGENCY PLAN: DATA BACKUP, DISASTER RECOVERY &amp; EMERGENCY MODE OPERATIONS</w:t>
      </w:r>
    </w:p>
    <w:p>
      <w:pPr>
        <w:spacing w:after="60"/>
        <w:jc w:val="center"/>
      </w:pPr>
      <w:r>
        <w:rPr>
          <w:rFonts w:ascii="Arial" w:cs="Arial" w:eastAsia="Arial" w:hAnsi="Arial"/>
          <w:i/>
          <w:iCs/>
          <w:color w:val="475569"/>
          <w:sz w:val="21"/>
          <w:szCs w:val="21"/>
        </w:rPr>
        <w:t xml:space="preserve">45 C.F.R. § 164.308(a)(7); Availability criteria, SOC 2 (A1)</w:t>
      </w:r>
    </w:p>
    <w:p>
      <w:pPr>
        <w:spacing w:after="320"/>
        <w:jc w:val="center"/>
      </w:pPr>
      <w:r>
        <w:rPr>
          <w:rFonts w:ascii="Arial" w:cs="Arial" w:eastAsia="Arial" w:hAnsi="Arial"/>
          <w:b/>
          <w:bCs/>
          <w:color w:val="0D9488"/>
          <w:spacing w:val="20"/>
          <w:sz w:val="17"/>
          <w:szCs w:val="17"/>
        </w:rPr>
        <w:t xml:space="preserve">ARKA-SEC-007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ARKA-SEC-007</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w:t>
      </w:r>
    </w:p>
    <w:p>
      <w:pPr>
        <w:spacing w:after="160" w:line="264"/>
        <w:jc w:val="both"/>
      </w:pPr>
      <w:r>
        <w:rPr>
          <w:rFonts w:ascii="Times New Roman" w:cs="Times New Roman" w:eastAsia="Times New Roman" w:hAnsi="Times New Roman"/>
          <w:color w:val="0F172A"/>
          <w:sz w:val="22"/>
          <w:szCs w:val="22"/>
        </w:rPr>
        <w:t xml:space="preserve">This Plan implements the Contingency Plan standard, 45 C.F.R. § 164.308(a)(7), establishing the procedures by which ARKA Health, Inc. responds to events that damage or render unavailable systems containing ePHI — including natural disaster, infrastructure failure, ransomware, and vendor outage — while preserving the confidentiality and integrity of ePHI in emergency operation.</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1800"/>
        <w:gridCol w:w="1860"/>
      </w:tblGrid>
      <w:tr>
        <w:trPr>
          <w:tblHeader/>
        </w:trPr>
        <w:tc>
          <w:tcPr>
            <w:tcW w:type="dxa" w:w="3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System class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RTO</w:t>
            </w:r>
          </w:p>
        </w:tc>
        <w:tc>
          <w:tcPr>
            <w:tcW w:type="dxa" w:w="1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RPO</w:t>
            </w:r>
          </w:p>
        </w:tc>
        <w:tc>
          <w:tcPr>
            <w:tcW w:type="dxa" w:w="18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Criticality</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 Platform application tier (stateless services)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 hours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 (redeploy from artifacts)</w:t>
            </w:r>
          </w:p>
        </w:tc>
        <w:tc>
          <w:tcPr>
            <w:tcW w:type="dxa" w:w="18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Critical</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Primary transactional database (tenant data; ePHI when in production service)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12 hours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15 minutes (PITR)</w:t>
            </w:r>
          </w:p>
        </w:tc>
        <w:tc>
          <w:tcPr>
            <w:tcW w:type="dxa" w:w="18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Critical</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Authentication / identity services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 hours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15 minutes</w:t>
            </w:r>
          </w:p>
        </w:tc>
        <w:tc>
          <w:tcPr>
            <w:tcW w:type="dxa" w:w="18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Critical</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Analytics and reporting stores (de-identified)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72 hours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24 hours</w:t>
            </w:r>
          </w:p>
        </w:tc>
        <w:tc>
          <w:tcPr>
            <w:tcW w:type="dxa" w:w="18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Standard</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Corporate SaaS (email, documents)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Vendor-managed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Vendor-managed</w:t>
            </w:r>
          </w:p>
        </w:tc>
        <w:tc>
          <w:tcPr>
            <w:tcW w:type="dxa" w:w="18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Standard</w:t>
            </w:r>
          </w:p>
        </w:tc>
      </w:tr>
    </w:tbl>
    <w:p>
      <w:pPr>
        <w:spacing w:after="80" w:line="264"/>
        <w:jc w:val="both"/>
      </w:pPr>
    </w:p>
    <w:p>
      <w:pPr>
        <w:spacing w:after="160" w:line="264"/>
        <w:jc w:val="both"/>
      </w:pPr>
      <w:r>
        <w:rPr>
          <w:rFonts w:ascii="Times New Roman" w:cs="Times New Roman" w:eastAsia="Times New Roman" w:hAnsi="Times New Roman"/>
          <w:color w:val="0F172A"/>
          <w:sz w:val="22"/>
          <w:szCs w:val="22"/>
        </w:rPr>
        <w:t xml:space="preserve">The objectives above are set to satisfy the seventy-two (72)-hour restoration expectation for critical systems reflected in the 2025 Security Rule rulemaking, with substantial margin for the platform tier. Criticality assignments constitute the applications-and-data criticality analysis required by § 164.308(a)(7)(ii)(E).</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DATA BACKUP PLAN</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Transactional databases maintain continuous write-ahead-log archiving with point-in-time recovery and daily full snapshots; snapshots are encrypted with keys distinct from production keys (ARKA-SEC-004, § 3(d)) and replicated to a second geographic region.</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Backup copies are immutable for their retention window (thirty-five (35) days rolling, plus monthly archival snapshots retained twelve (12) months) and are inaccessible to the credentials that operate production workloads, so that a compromise of production cannot encrypt or delete backups.</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Source code, infrastructure-as-code definitions, and deployment configuration are mirrored across the managed source-control provider and exportable archives, such that the entire platform is reconstructable from versioned artifacts.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Restoration testing.</w:t>
      </w:r>
      <w:r>
        <w:rPr>
          <w:rFonts w:ascii="Times New Roman" w:cs="Times New Roman" w:eastAsia="Times New Roman" w:hAnsi="Times New Roman"/>
          <w:color w:val="0F172A"/>
          <w:sz w:val="22"/>
          <w:szCs w:val="22"/>
        </w:rPr>
        <w:t xml:space="preserve"> A database restore to an isolated environment shall be executed and documented at least quarterly, recording elapsed time against RTO and data loss against RPO; an annual full-environment recovery exercise shall reconstruct the platform from artifacts and backups alone.</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DISASTER RECOVERY PROCEDURE</w:t>
      </w:r>
    </w:p>
    <w:p>
      <w:pPr>
        <w:spacing w:after="160" w:line="264"/>
        <w:jc w:val="both"/>
      </w:pPr>
      <w:r>
        <w:rPr>
          <w:rFonts w:ascii="Times New Roman" w:cs="Times New Roman" w:eastAsia="Times New Roman" w:hAnsi="Times New Roman"/>
          <w:color w:val="0F172A"/>
          <w:sz w:val="22"/>
          <w:szCs w:val="22"/>
        </w:rPr>
        <w:t xml:space="preserve">Upon declaration of a disaster by the Security Officer or Chief Executive Officer: (a) the incident bridge is opened and the communication tree activated; (b) recovery proceeds in dependency order — identity, data tier, application tier, integrations — using region failover or rebuild-from-artifact paths as the event dictates; (c) Customers materially affected are notified within four (4) hours of declaration with an initial assessment and ongoing status cadence; and (d) a post-event review follows ARKA-SEC-006, § 4(e). Where the event involves suspected compromise, restoration shall use snapshots predating the compromise window and shall not reintroduce affected artifacts.</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EMERGENCY MODE OPERATION</w:t>
      </w:r>
    </w:p>
    <w:p>
      <w:pPr>
        <w:spacing w:after="160" w:line="264"/>
        <w:jc w:val="both"/>
      </w:pPr>
      <w:r>
        <w:rPr>
          <w:rFonts w:ascii="Times New Roman" w:cs="Times New Roman" w:eastAsia="Times New Roman" w:hAnsi="Times New Roman"/>
          <w:color w:val="0F172A"/>
          <w:sz w:val="22"/>
          <w:szCs w:val="22"/>
        </w:rPr>
        <w:t xml:space="preserve">During contingency operation, the protections of the ARKA-SEC series remain in force: emergency access follows the break-glass procedure (ARKA-SEC-003); encryption and logging may not be disabled to expedite recovery; and any temporary control deviation must be recorded as an exception with an expiration not later than the close of the event. The clinical posture of the ARKA Platform — decision support that never blocks or places orders — means platform unavailability degrades to the Customer’s standard of care without creating a patient-safety dependency; Customers are advised of this design in onboarding materials.</w:t>
      </w:r>
    </w:p>
    <w:p>
      <w:pPr>
        <w:pStyle w:val="Heading1"/>
        <w:keepNext/>
        <w:pBdr>
          <w:bottom w:val="single" w:color="0D9488" w:sz="6" w:space="2"/>
        </w:pBdr>
        <w:spacing w:after="180" w:before="340"/>
      </w:pPr>
      <w:r>
        <w:rPr>
          <w:rFonts w:ascii="Arial" w:cs="Arial" w:eastAsia="Arial" w:hAnsi="Arial"/>
          <w:b/>
          <w:bCs/>
          <w:color w:val="0F172A"/>
          <w:sz w:val="24"/>
          <w:szCs w:val="24"/>
        </w:rPr>
        <w:t xml:space="preserve">6. TESTING AND REVISION</w:t>
      </w:r>
    </w:p>
    <w:p>
      <w:pPr>
        <w:spacing w:after="160" w:line="264"/>
        <w:jc w:val="both"/>
      </w:pPr>
      <w:r>
        <w:rPr>
          <w:rFonts w:ascii="Times New Roman" w:cs="Times New Roman" w:eastAsia="Times New Roman" w:hAnsi="Times New Roman"/>
          <w:color w:val="0F172A"/>
          <w:sz w:val="22"/>
          <w:szCs w:val="22"/>
        </w:rPr>
        <w:t xml:space="preserve">This Plan shall be tested annually at minimum (tabletop plus the technical exercises of Section 3(d)), and revised within thirty (30) days of any test or actual event that reveals a deficiency, per § 164.308(a)(7)(ii)(D).</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ARKA-SEC-007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ARKA-SEC-007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Contingency Plan: Data Backup, Disaster Recovery &amp; Emergency Mode Operations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Contingency Plan: Data Backup, Disaster Recovery &amp; Emergency Mode Operations</dc:title>
  <dc:creator>ARKA Health, Inc.</dc:creator>
  <dc:description>45 C.F.R. § 164.308(a)(7); Availability criteria, SOC 2 (A1)</dc:description>
  <cp:lastModifiedBy>Un-named</cp:lastModifiedBy>
  <cp:revision>1</cp:revision>
  <dcterms:created xsi:type="dcterms:W3CDTF">2026-06-11T01:32:56.374Z</dcterms:created>
  <dcterms:modified xsi:type="dcterms:W3CDTF">2026-06-11T01:32:56.374Z</dcterms:modified>
</cp:coreProperties>
</file>

<file path=docProps/custom.xml><?xml version="1.0" encoding="utf-8"?>
<Properties xmlns="http://schemas.openxmlformats.org/officeDocument/2006/custom-properties" xmlns:vt="http://schemas.openxmlformats.org/officeDocument/2006/docPropsVTypes"/>
</file>