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WORKFORCE SECURITY TRAINING &amp; SANCTION POLICY</w:t>
      </w:r>
    </w:p>
    <w:p>
      <w:pPr>
        <w:spacing w:after="60"/>
        <w:jc w:val="center"/>
      </w:pPr>
      <w:r>
        <w:rPr>
          <w:rFonts w:ascii="Arial" w:cs="Arial" w:eastAsia="Arial" w:hAnsi="Arial"/>
          <w:i/>
          <w:iCs/>
          <w:color w:val="475569"/>
          <w:sz w:val="21"/>
          <w:szCs w:val="21"/>
        </w:rPr>
        <w:t xml:space="preserve">Security awareness and training, 45 C.F.R. § 164.308(a)(5); sanctions, § 164.308(a)(1)(ii)(C) and § 164.530(e)</w:t>
      </w:r>
    </w:p>
    <w:p>
      <w:pPr>
        <w:spacing w:after="320"/>
        <w:jc w:val="center"/>
      </w:pPr>
      <w:r>
        <w:rPr>
          <w:rFonts w:ascii="Arial" w:cs="Arial" w:eastAsia="Arial" w:hAnsi="Arial"/>
          <w:b/>
          <w:bCs/>
          <w:color w:val="0D9488"/>
          <w:spacing w:val="20"/>
          <w:sz w:val="17"/>
          <w:szCs w:val="17"/>
        </w:rPr>
        <w:t xml:space="preserve">ARKA-SEC-008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ARKA-SEC-008</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TRAINING PROGRAM</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Onboarding.</w:t>
      </w:r>
      <w:r>
        <w:rPr>
          <w:rFonts w:ascii="Times New Roman" w:cs="Times New Roman" w:eastAsia="Times New Roman" w:hAnsi="Times New Roman"/>
          <w:color w:val="0F172A"/>
          <w:sz w:val="22"/>
          <w:szCs w:val="22"/>
        </w:rPr>
        <w:t xml:space="preserve"> Each Workforce Member shall complete privacy and security training — covering HIPAA fundamentals, this policy suite, phishing and social engineering, credential hygiene, incident reporting, and the prohibition on placing PHI in non-production environments — </w:t>
      </w:r>
      <w:r>
        <w:rPr>
          <w:rFonts w:ascii="Times New Roman" w:cs="Times New Roman" w:eastAsia="Times New Roman" w:hAnsi="Times New Roman"/>
          <w:b/>
          <w:bCs/>
          <w:color w:val="0F172A"/>
          <w:sz w:val="22"/>
          <w:szCs w:val="22"/>
        </w:rPr>
        <w:t xml:space="preserve">before</w:t>
      </w:r>
      <w:r>
        <w:rPr>
          <w:rFonts w:ascii="Times New Roman" w:cs="Times New Roman" w:eastAsia="Times New Roman" w:hAnsi="Times New Roman"/>
          <w:color w:val="0F172A"/>
          <w:sz w:val="22"/>
          <w:szCs w:val="22"/>
        </w:rPr>
        <w:t xml:space="preserve"> being granted access to production systems, and in all cases within ten (10) business days of start.</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Annual refresher.</w:t>
      </w:r>
      <w:r>
        <w:rPr>
          <w:rFonts w:ascii="Times New Roman" w:cs="Times New Roman" w:eastAsia="Times New Roman" w:hAnsi="Times New Roman"/>
          <w:color w:val="0F172A"/>
          <w:sz w:val="22"/>
          <w:szCs w:val="22"/>
        </w:rPr>
        <w:t xml:space="preserve"> All Workforce Members complete refresher training every twelve (12) months, updated for the year’s incidents, regulatory changes, and risk-analysis findings.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Role-based modules.</w:t>
      </w:r>
      <w:r>
        <w:rPr>
          <w:rFonts w:ascii="Times New Roman" w:cs="Times New Roman" w:eastAsia="Times New Roman" w:hAnsi="Times New Roman"/>
          <w:color w:val="0F172A"/>
          <w:sz w:val="22"/>
          <w:szCs w:val="22"/>
        </w:rPr>
        <w:t xml:space="preserve"> Engineering personnel complete secure-development training (OWASP Top 10, secrets handling, dependency hygiene) annually; personnel with Customer-data access complete minimum-necessary and verification training (ARKA-PRIV-001, § 7).</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Security reminders.</w:t>
      </w:r>
      <w:r>
        <w:rPr>
          <w:rFonts w:ascii="Times New Roman" w:cs="Times New Roman" w:eastAsia="Times New Roman" w:hAnsi="Times New Roman"/>
          <w:color w:val="0F172A"/>
          <w:sz w:val="22"/>
          <w:szCs w:val="22"/>
        </w:rPr>
        <w:t xml:space="preserve"> Periodic reminders (at least quarterly) address current threats — credential phishing, MFA fatigue, vendor-impersonation fraud — per § 164.308(a)(5)(ii)(A).</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Records.</w:t>
      </w:r>
      <w:r>
        <w:rPr>
          <w:rFonts w:ascii="Times New Roman" w:cs="Times New Roman" w:eastAsia="Times New Roman" w:hAnsi="Times New Roman"/>
          <w:color w:val="0F172A"/>
          <w:sz w:val="22"/>
          <w:szCs w:val="22"/>
        </w:rPr>
        <w:t xml:space="preserve"> Completion records (person, module, version, date, attestation) are retained six (6) years and constitute audit evidence for TSC CC1.4 and HITRUST e1 training requirements.</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ATTESTATION</w:t>
      </w:r>
    </w:p>
    <w:p>
      <w:pPr>
        <w:spacing w:after="160" w:line="264"/>
        <w:jc w:val="both"/>
      </w:pPr>
      <w:r>
        <w:rPr>
          <w:rFonts w:ascii="Times New Roman" w:cs="Times New Roman" w:eastAsia="Times New Roman" w:hAnsi="Times New Roman"/>
          <w:color w:val="0F172A"/>
          <w:sz w:val="22"/>
          <w:szCs w:val="22"/>
        </w:rPr>
        <w:t xml:space="preserve">Upon onboarding and at each annual refresher, each Workforce Member shall execute a written attestation acknowledging receipt and comprehension of this policy suite and agreeing to comply. Access shall be suspended for any Workforce Member whose training or attestation is more than fifteen (15) days overdue.</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SANCTIONS</w:t>
      </w:r>
    </w:p>
    <w:p>
      <w:pPr>
        <w:spacing w:after="160" w:line="264"/>
        <w:jc w:val="both"/>
      </w:pPr>
      <w:r>
        <w:rPr>
          <w:rFonts w:ascii="Times New Roman" w:cs="Times New Roman" w:eastAsia="Times New Roman" w:hAnsi="Times New Roman"/>
          <w:color w:val="0F172A"/>
          <w:sz w:val="22"/>
          <w:szCs w:val="22"/>
        </w:rPr>
        <w:t xml:space="preserve">Violations of the Program are addressed through graduated, consistently applied sanctions, documented in each instance and retained for six (6)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Category</w:t>
            </w:r>
          </w:p>
        </w:tc>
        <w:tc>
          <w:tcPr>
            <w:tcW w:type="dxa" w:w="4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Illustrative conduct</w:t>
            </w:r>
          </w:p>
        </w:tc>
        <w:tc>
          <w:tcPr>
            <w:tcW w:type="dxa" w:w="3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Sanction range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Category I</w:t>
            </w:r>
          </w:p>
        </w:tc>
        <w:tc>
          <w:tcPr>
            <w:tcW w:type="dxa" w:w="4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Inadvertent, low-risk deviation promptly self-reported (e.g., missed screen lock; delayed training)</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Documented coaching; targeted retraining</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Category II</w:t>
            </w:r>
          </w:p>
        </w:tc>
        <w:tc>
          <w:tcPr>
            <w:tcW w:type="dxa" w:w="4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Negligent violation creating material risk (e.g., credential sharing; storing work data on personal unencrypted device; repeated Category I)</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Written warning; access reduction; mandatory retraining; performance consequences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Category III</w:t>
            </w:r>
          </w:p>
        </w:tc>
        <w:tc>
          <w:tcPr>
            <w:tcW w:type="dxa" w:w="4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Willful or reckless violation (e.g., intentional unauthorized access to or disclosure of PHI; attempted re-identification; obstruction of an investigation)</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Suspension or termination of employment/engagement; referral to law enforcement or regulators where warranted</w:t>
            </w:r>
          </w:p>
        </w:tc>
      </w:tr>
    </w:tbl>
    <w:p>
      <w:pPr>
        <w:spacing w:after="80" w:line="264"/>
        <w:jc w:val="both"/>
      </w:pPr>
    </w:p>
    <w:p>
      <w:pPr>
        <w:spacing w:after="160" w:line="264"/>
        <w:jc w:val="both"/>
      </w:pPr>
      <w:r>
        <w:rPr>
          <w:rFonts w:ascii="Times New Roman" w:cs="Times New Roman" w:eastAsia="Times New Roman" w:hAnsi="Times New Roman"/>
          <w:color w:val="0F172A"/>
          <w:sz w:val="22"/>
          <w:szCs w:val="22"/>
        </w:rPr>
        <w:t xml:space="preserve">Good-faith reporting of one’s own error is a mitigating factor; concealment is aggravating. No sanction shall issue for reports made under the non-retaliation commitments of ARKA-GOV-001, § 7. Sanctions involving the Security Officer personally shall be determined by the Chief Executive Officer with advice of outside counsel; sanctions involving the Chief Executive Officer shall be determined by the Board of Directors.</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ARKA-SEC-008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ARKA-SEC-008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Workforce Security Training &amp; Sanction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Security Training &amp; Sanction Policy</dc:title>
  <dc:creator>ARKA Health, Inc.</dc:creator>
  <dc:description>Security awareness and training, 45 C.F.R. § 164.308(a)(5); sanctions, § 164.308(a)(1)(ii)(C) and § 164.530(e)</dc:description>
  <cp:lastModifiedBy>Un-named</cp:lastModifiedBy>
  <cp:revision>1</cp:revision>
  <dcterms:created xsi:type="dcterms:W3CDTF">2026-06-11T01:32:56.404Z</dcterms:created>
  <dcterms:modified xsi:type="dcterms:W3CDTF">2026-06-11T01:32:56.404Z</dcterms:modified>
</cp:coreProperties>
</file>

<file path=docProps/custom.xml><?xml version="1.0" encoding="utf-8"?>
<Properties xmlns="http://schemas.openxmlformats.org/officeDocument/2006/custom-properties" xmlns:vt="http://schemas.openxmlformats.org/officeDocument/2006/docPropsVTypes"/>
</file>