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VENDOR &amp; SUBCONTRACTOR RISK MANAGEMENT POLICY</w:t>
      </w:r>
    </w:p>
    <w:p>
      <w:pPr>
        <w:spacing w:after="60"/>
        <w:jc w:val="center"/>
      </w:pPr>
      <w:r>
        <w:rPr>
          <w:rFonts w:ascii="Arial" w:cs="Arial" w:eastAsia="Arial" w:hAnsi="Arial"/>
          <w:i/>
          <w:iCs/>
          <w:color w:val="475569"/>
          <w:sz w:val="21"/>
          <w:szCs w:val="21"/>
        </w:rPr>
        <w:t xml:space="preserve">Third-party assurance under 45 C.F.R. §§ 164.308(b), 164.314(a); SOC 2 CC9.2</w:t>
      </w:r>
    </w:p>
    <w:p>
      <w:pPr>
        <w:spacing w:after="320"/>
        <w:jc w:val="center"/>
      </w:pPr>
      <w:r>
        <w:rPr>
          <w:rFonts w:ascii="Arial" w:cs="Arial" w:eastAsia="Arial" w:hAnsi="Arial"/>
          <w:b/>
          <w:bCs/>
          <w:color w:val="0D9488"/>
          <w:spacing w:val="20"/>
          <w:sz w:val="17"/>
          <w:szCs w:val="17"/>
        </w:rPr>
        <w:t xml:space="preserve">ARKA-SEC-009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ARKA-SEC-009</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w:t>
      </w:r>
    </w:p>
    <w:p>
      <w:pPr>
        <w:spacing w:after="160" w:line="264"/>
        <w:jc w:val="both"/>
      </w:pPr>
      <w:r>
        <w:rPr>
          <w:rFonts w:ascii="Times New Roman" w:cs="Times New Roman" w:eastAsia="Times New Roman" w:hAnsi="Times New Roman"/>
          <w:color w:val="0F172A"/>
          <w:sz w:val="22"/>
          <w:szCs w:val="22"/>
        </w:rPr>
        <w:t xml:space="preserve">This Policy governs the selection, contracting, monitoring, and termination of vendors, subprocessors, and subcontractors whose products or services could affect the confidentiality, integrity, or availability of ARKA Health, Inc. information or systems, and implements the business associate and subcontractor assurance requirements of the Security Rule.</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Tier</w:t>
            </w:r>
          </w:p>
        </w:tc>
        <w:tc>
          <w:tcPr>
            <w:tcW w:type="dxa" w:w="4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Definition</w:t>
            </w:r>
          </w:p>
        </w:tc>
        <w:tc>
          <w:tcPr>
            <w:tcW w:type="dxa" w:w="3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Examples (current register)</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Tier 1 — PHI subcontractor</w:t>
            </w:r>
          </w:p>
        </w:tc>
        <w:tc>
          <w:tcPr>
            <w:tcW w:type="dxa" w:w="4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Creates, receives, maintains, or transmits PHI on ARKA’s behalf</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Cloud infrastructure and managed database/auth providers supporting production tenants (AWS; Supabase; Vercel, when production carries PHI)</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Tier 2 — Security-relevant</w:t>
            </w:r>
          </w:p>
        </w:tc>
        <w:tc>
          <w:tcPr>
            <w:tcW w:type="dxa" w:w="4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No PHI, but compromise could affect production or source code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Source control / CI (GitHub); identity provider; monitoring/alerting tooling</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Tier 3 — General</w:t>
            </w:r>
          </w:p>
        </w:tc>
        <w:tc>
          <w:tcPr>
            <w:tcW w:type="dxa" w:w="4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No PHI and no production pathway</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Productivity, design, and communications SaaS used without PHI</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3. DUE DILIGENCE AND CONTRACTING</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Pre-engagement review.</w:t>
      </w:r>
      <w:r>
        <w:rPr>
          <w:rFonts w:ascii="Times New Roman" w:cs="Times New Roman" w:eastAsia="Times New Roman" w:hAnsi="Times New Roman"/>
          <w:color w:val="0F172A"/>
          <w:sz w:val="22"/>
          <w:szCs w:val="22"/>
        </w:rPr>
        <w:t xml:space="preserve"> Before engagement, Tier 1 and Tier 2 vendors are assessed by the Security Officer: current SOC 2 Type II report (or ISO/IEC 27001 certificate with statement of applicability), breach history, subprocessor lists, data-residency, and security whitepapers; findings are recorded in the vendor register.</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BAA required.</w:t>
      </w:r>
      <w:r>
        <w:rPr>
          <w:rFonts w:ascii="Times New Roman" w:cs="Times New Roman" w:eastAsia="Times New Roman" w:hAnsi="Times New Roman"/>
          <w:color w:val="0F172A"/>
          <w:sz w:val="22"/>
          <w:szCs w:val="22"/>
        </w:rPr>
        <w:t xml:space="preserve"> No Tier 1 vendor shall receive, or be placed in a position to receive, PHI before execution of a business associate agreement satisfying 45 C.F.R. § 164.314(a) and the flow-down requirements of ARKA-LGL-001, Exhibit A. The Company’s cloud providers offer standing HIPAA BAAs (e.g., AWS, Supabase, and Vercel HIPAA offerings), which shall be executed, and the associated provider-side configuration obligations implemented, before any production deployment carrying PHI.</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Contract minimums (Tier 2).</w:t>
      </w:r>
      <w:r>
        <w:rPr>
          <w:rFonts w:ascii="Times New Roman" w:cs="Times New Roman" w:eastAsia="Times New Roman" w:hAnsi="Times New Roman"/>
          <w:color w:val="0F172A"/>
          <w:sz w:val="22"/>
          <w:szCs w:val="22"/>
        </w:rPr>
        <w:t xml:space="preserve"> Confidentiality, security-incident notice, and audit/attestation-sharing obligations.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Approval.</w:t>
      </w:r>
      <w:r>
        <w:rPr>
          <w:rFonts w:ascii="Times New Roman" w:cs="Times New Roman" w:eastAsia="Times New Roman" w:hAnsi="Times New Roman"/>
          <w:color w:val="0F172A"/>
          <w:sz w:val="22"/>
          <w:szCs w:val="22"/>
        </w:rPr>
        <w:t xml:space="preserve"> New Tier 1 engagements require the written approval of the Security Officer and notation in the subprocessor register made available to Customers under ARKA-LGL-001, § 2.5.</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ONGOING MONITORING</w:t>
      </w:r>
    </w:p>
    <w:p>
      <w:pPr>
        <w:spacing w:after="160" w:line="264"/>
        <w:jc w:val="both"/>
      </w:pPr>
      <w:r>
        <w:rPr>
          <w:rFonts w:ascii="Times New Roman" w:cs="Times New Roman" w:eastAsia="Times New Roman" w:hAnsi="Times New Roman"/>
          <w:color w:val="0F172A"/>
          <w:sz w:val="22"/>
          <w:szCs w:val="22"/>
        </w:rPr>
        <w:t xml:space="preserve">Tier 1 and Tier 2 vendors are re-assessed every twelve (12) months: refreshed attestations are collected and reviewed for relevant findings and complementary user-entity controls, which are mapped to ARKA’s implementing controls; provider security bulletins and status feeds are monitored continuously. Beginning with the compliance date of the amended Security Rule, ARKA shall obtain from each Tier 1 subcontractor an annual written verification of the deployment of required technical safeguards, consistent with the 2025 rulemaking. A vendor’s material security failure, lapsed attestation, or uncured contractual breach shall trigger a risk re-assessment and, where warranted, migration planning and termination under the applicable agreement.</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SHARED-RESPONSIBILITY DOCUMENTATION</w:t>
      </w:r>
    </w:p>
    <w:p>
      <w:pPr>
        <w:spacing w:after="160" w:line="264"/>
        <w:jc w:val="both"/>
      </w:pPr>
      <w:r>
        <w:rPr>
          <w:rFonts w:ascii="Times New Roman" w:cs="Times New Roman" w:eastAsia="Times New Roman" w:hAnsi="Times New Roman"/>
          <w:color w:val="0F172A"/>
          <w:sz w:val="22"/>
          <w:szCs w:val="22"/>
        </w:rPr>
        <w:t xml:space="preserve">For each Tier 1 provider, the Security Officer shall document the division of control responsibility (provider-managed versus ARKA-managed) — including, without limitation, encryption configuration, network controls, backup configuration, and identity settings — so that no required safeguard is unowned. This mapping is an input to the annual risk analysis (ARKA-SEC-002) and the SOC 2 system description (ARKA-RDY-002).</w:t>
      </w:r>
    </w:p>
    <w:p>
      <w:pPr>
        <w:pStyle w:val="Heading1"/>
        <w:keepNext/>
        <w:pBdr>
          <w:bottom w:val="single" w:color="0D9488" w:sz="6" w:space="2"/>
        </w:pBdr>
        <w:spacing w:after="180" w:before="340"/>
      </w:pPr>
      <w:r>
        <w:rPr>
          <w:rFonts w:ascii="Arial" w:cs="Arial" w:eastAsia="Arial" w:hAnsi="Arial"/>
          <w:b/>
          <w:bCs/>
          <w:color w:val="0F172A"/>
          <w:sz w:val="24"/>
          <w:szCs w:val="24"/>
        </w:rPr>
        <w:t xml:space="preserve">6. OFFBOARDING</w:t>
      </w:r>
    </w:p>
    <w:p>
      <w:pPr>
        <w:spacing w:after="160" w:line="264"/>
        <w:jc w:val="both"/>
      </w:pPr>
      <w:r>
        <w:rPr>
          <w:rFonts w:ascii="Times New Roman" w:cs="Times New Roman" w:eastAsia="Times New Roman" w:hAnsi="Times New Roman"/>
          <w:color w:val="0F172A"/>
          <w:sz w:val="22"/>
          <w:szCs w:val="22"/>
        </w:rPr>
        <w:t xml:space="preserve">Upon termination of any Tier 1 vendor, ARKA shall obtain return or certified destruction of PHI in accordance with the applicable BAA and NIST SP 800-88, revoke all credentials and integrations within twenty-four (24) hours, and record completion in the vendor register.</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ARKA-SEC-009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ARKA-SEC-009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Vendor &amp; Subcontractor Risk Management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&amp; Subcontractor Risk Management Policy</dc:title>
  <dc:creator>ARKA Health, Inc.</dc:creator>
  <dc:description>Third-party assurance under 45 C.F.R. §§ 164.308(b), 164.314(a); SOC 2 CC9.2</dc:description>
  <cp:lastModifiedBy>Un-named</cp:lastModifiedBy>
  <cp:revision>1</cp:revision>
  <dcterms:created xsi:type="dcterms:W3CDTF">2026-06-11T01:32:56.479Z</dcterms:created>
  <dcterms:modified xsi:type="dcterms:W3CDTF">2026-06-11T01:32:56.479Z</dcterms:modified>
</cp:coreProperties>
</file>

<file path=docProps/custom.xml><?xml version="1.0" encoding="utf-8"?>
<Properties xmlns="http://schemas.openxmlformats.org/officeDocument/2006/custom-properties" xmlns:vt="http://schemas.openxmlformats.org/officeDocument/2006/docPropsVTypes"/>
</file>