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SECURE SOFTWARE DEVELOPMENT &amp; CHANGE MANAGEMENT POLICY</w:t>
      </w:r>
    </w:p>
    <w:p>
      <w:pPr>
        <w:spacing w:after="60"/>
        <w:jc w:val="center"/>
      </w:pPr>
      <w:r>
        <w:rPr>
          <w:rFonts w:ascii="Arial" w:cs="Arial" w:eastAsia="Arial" w:hAnsi="Arial"/>
          <w:i/>
          <w:iCs/>
          <w:color w:val="475569"/>
          <w:sz w:val="21"/>
          <w:szCs w:val="21"/>
        </w:rPr>
        <w:t xml:space="preserve">Integrity controls, 45 C.F.R. § 164.312(c); change management, SOC 2 CC8.1</w:t>
      </w:r>
    </w:p>
    <w:p>
      <w:pPr>
        <w:spacing w:after="320"/>
        <w:jc w:val="center"/>
      </w:pPr>
      <w:r>
        <w:rPr>
          <w:rFonts w:ascii="Arial" w:cs="Arial" w:eastAsia="Arial" w:hAnsi="Arial"/>
          <w:b/>
          <w:bCs/>
          <w:color w:val="0D9488"/>
          <w:spacing w:val="20"/>
          <w:sz w:val="17"/>
          <w:szCs w:val="17"/>
        </w:rPr>
        <w:t xml:space="preserve">ARKA-SEC-010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SCOPE</w:t>
      </w:r>
    </w:p>
    <w:p>
      <w:pPr>
        <w:spacing w:after="160" w:line="264"/>
        <w:jc w:val="both"/>
      </w:pPr>
      <w:r>
        <w:rPr>
          <w:rFonts w:ascii="Times New Roman" w:cs="Times New Roman" w:eastAsia="Times New Roman" w:hAnsi="Times New Roman"/>
          <w:color w:val="0F172A"/>
          <w:sz w:val="22"/>
          <w:szCs w:val="22"/>
        </w:rPr>
        <w:t xml:space="preserve">This Policy governs the development, review, testing, approval, deployment, and emergency modification of all software constituting or supporting the ARKA Platform, in order to preserve the integrity of systems processing ePHI and to ensure that changes are authorized, tested, documented, and reversible.</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SECURE DEVELOPMENT STANDARDS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Branch protection and review.</w:t>
      </w:r>
      <w:r>
        <w:rPr>
          <w:rFonts w:ascii="Times New Roman" w:cs="Times New Roman" w:eastAsia="Times New Roman" w:hAnsi="Times New Roman"/>
          <w:color w:val="0F172A"/>
          <w:sz w:val="22"/>
          <w:szCs w:val="22"/>
        </w:rPr>
        <w:t xml:space="preserve"> All changes enter production exclusively through version-controlled pull requests; direct commits to protected branches and direct modification of production infrastructure are technically disabled. Each pull request requires at least one approving review by someone other than its author; while the engineering team numbers fewer than three, the compensating control is a mandatory self-review checklist plus full CI gating, documented in the pull request.</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CI quality gates.</w:t>
      </w:r>
      <w:r>
        <w:rPr>
          <w:rFonts w:ascii="Times New Roman" w:cs="Times New Roman" w:eastAsia="Times New Roman" w:hAnsi="Times New Roman"/>
          <w:color w:val="0F172A"/>
          <w:sz w:val="22"/>
          <w:szCs w:val="22"/>
        </w:rPr>
        <w:t xml:space="preserve"> Merges are blocked unless automated checks pass: type checking, unit and compliance test suites, lint rules (including the platform’s scope-boundary and CDS card-linting checks), dependency vulnerability audit, and secret-scanning. High or critical dependency vulnerabilities block release; lower severities are triaged within thirty (30) days.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Secure coding.</w:t>
      </w:r>
      <w:r>
        <w:rPr>
          <w:rFonts w:ascii="Times New Roman" w:cs="Times New Roman" w:eastAsia="Times New Roman" w:hAnsi="Times New Roman"/>
          <w:color w:val="0F172A"/>
          <w:sz w:val="22"/>
          <w:szCs w:val="22"/>
        </w:rPr>
        <w:t xml:space="preserve"> Engineering personnel follow OWASP guidance for the platform’s stack; input validation is enforced at API boundaries with schema validation; authorization checks are server-side; and security-relevant utilities (encryption, authentication, audit logging) are centralized rather than re-implemented.</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No PHI in development.</w:t>
      </w:r>
      <w:r>
        <w:rPr>
          <w:rFonts w:ascii="Times New Roman" w:cs="Times New Roman" w:eastAsia="Times New Roman" w:hAnsi="Times New Roman"/>
          <w:color w:val="0F172A"/>
          <w:sz w:val="22"/>
          <w:szCs w:val="22"/>
        </w:rPr>
        <w:t xml:space="preserve"> Production data shall not be copied to development, test, staging, or demonstration environments. Seed and fixture data are synthetic (ARKA-DEMO-001). CI guards fail the build where demonstration fixtures import production data sources.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Static analysis of AI-assisted code.</w:t>
      </w:r>
      <w:r>
        <w:rPr>
          <w:rFonts w:ascii="Times New Roman" w:cs="Times New Roman" w:eastAsia="Times New Roman" w:hAnsi="Times New Roman"/>
          <w:color w:val="0F172A"/>
          <w:sz w:val="22"/>
          <w:szCs w:val="22"/>
        </w:rPr>
        <w:t xml:space="preserve"> Code produced with generative tooling is subject to the same review, testing, and provenance standards as human-authored code; no such tooling is granted access to production credentials or ePHI.</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CHANGE CLASSES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60"/>
      </w:tblGrid>
      <w:tr>
        <w:trPr>
          <w:tblHeader/>
        </w:trPr>
        <w:tc>
          <w:tcPr>
            <w:tcW w:type="dxa" w:w="2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Class</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Definition</w:t>
            </w:r>
          </w:p>
        </w:tc>
        <w:tc>
          <w:tcPr>
            <w:tcW w:type="dxa" w:w="3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Approval</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Standard</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Routine application changes within existing architecture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Peer review + passing CI</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Significant</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New data stores, new third-party integrations, authentication or encryption changes, schema changes affecting ePHI</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Officer sign-off recorded in the change record; targeted risk re-assessment where ARKA-SEC-002, § 3 applies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Emergency</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Hotfix required to restore service or close an actively exploited vulnerability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Deploy first where necessary; retrospective review and full documentation within two (2) business days</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4. DEPLOYMENT AND ROLLBACK</w:t>
      </w:r>
    </w:p>
    <w:p>
      <w:pPr>
        <w:spacing w:after="160" w:line="264"/>
        <w:jc w:val="both"/>
      </w:pPr>
      <w:r>
        <w:rPr>
          <w:rFonts w:ascii="Times New Roman" w:cs="Times New Roman" w:eastAsia="Times New Roman" w:hAnsi="Times New Roman"/>
          <w:color w:val="0F172A"/>
          <w:sz w:val="22"/>
          <w:szCs w:val="22"/>
        </w:rPr>
        <w:t xml:space="preserve">Deployments are executed by automated pipeline from tagged, immutable artifacts; the identity of the deployer, the artifact hash, and the associated change records are logged (ARKA-SEC-005). Every production deployment must be reversible by redeployment of the prior artifact; schema migrations require a tested rollback or roll-forward plan before merge. Release notes for Customer-visible changes are maintained, and changes affecting clinical-content behavior of ARKA-CLIN additionally follow the clinical sign-off log maintained in the platform repository.</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VULNERABILITY MANAGEMENT</w:t>
      </w:r>
    </w:p>
    <w:p>
      <w:pPr>
        <w:spacing w:after="160" w:line="264"/>
        <w:jc w:val="both"/>
      </w:pPr>
      <w:r>
        <w:rPr>
          <w:rFonts w:ascii="Times New Roman" w:cs="Times New Roman" w:eastAsia="Times New Roman" w:hAnsi="Times New Roman"/>
          <w:color w:val="0F172A"/>
          <w:sz w:val="22"/>
          <w:szCs w:val="22"/>
        </w:rPr>
        <w:t xml:space="preserve">In addition to continuous dependency scanning in CI: production infrastructure undergoes vulnerability scanning at least every six (6) months; an independent penetration test is performed at least every twelve (12) months and after material architectural change, with findings remediated on the following schedule — Critical: ten (10) days; High: thirty (30) days; Medium: ninety (90) days; Low: at next planned release — or formally risk-accepted under ARKA-GOV-001, § 7. A coordinated vulnerability-disclosure channel (security@getarka.health) is published on the Company website.</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ARKA-SEC-010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ARKA-SEC-010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Secure Software Development &amp; Change Management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Software Development &amp; Change Management Policy</dc:title>
  <dc:creator>ARKA Health, Inc.</dc:creator>
  <dc:description>Integrity controls, 45 C.F.R. § 164.312(c); change management, SOC 2 CC8.1</dc:description>
  <cp:lastModifiedBy>Un-named</cp:lastModifiedBy>
  <cp:revision>1</cp:revision>
  <dcterms:created xsi:type="dcterms:W3CDTF">2026-06-11T01:32:56.550Z</dcterms:created>
  <dcterms:modified xsi:type="dcterms:W3CDTF">2026-06-11T01:32:56.550Z</dcterms:modified>
</cp:coreProperties>
</file>

<file path=docProps/custom.xml><?xml version="1.0" encoding="utf-8"?>
<Properties xmlns="http://schemas.openxmlformats.org/officeDocument/2006/custom-properties" xmlns:vt="http://schemas.openxmlformats.org/officeDocument/2006/docPropsVTypes"/>
</file>