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DATA CLASSIFICATION, RETENTION &amp; SECURE DISPOSAL POLICY</w:t>
      </w:r>
    </w:p>
    <w:p>
      <w:pPr>
        <w:spacing w:after="60"/>
        <w:jc w:val="center"/>
      </w:pPr>
      <w:r>
        <w:rPr>
          <w:rFonts w:ascii="Arial" w:cs="Arial" w:eastAsia="Arial" w:hAnsi="Arial"/>
          <w:i/>
          <w:iCs/>
          <w:color w:val="475569"/>
          <w:sz w:val="21"/>
          <w:szCs w:val="21"/>
        </w:rPr>
        <w:t xml:space="preserve">Device and media controls, 45 C.F.R. § 164.310(d); Confidentiality criteria, SOC 2 (C1)</w:t>
      </w:r>
    </w:p>
    <w:p>
      <w:pPr>
        <w:spacing w:after="320"/>
        <w:jc w:val="center"/>
      </w:pPr>
      <w:r>
        <w:rPr>
          <w:rFonts w:ascii="Arial" w:cs="Arial" w:eastAsia="Arial" w:hAnsi="Arial"/>
          <w:b/>
          <w:bCs/>
          <w:color w:val="0D9488"/>
          <w:spacing w:val="20"/>
          <w:sz w:val="17"/>
          <w:szCs w:val="17"/>
        </w:rPr>
        <w:t xml:space="preserve">ARKA-SEC-011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ARKA-SEC-011</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CLASSIFICATION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Class</w:t>
            </w:r>
          </w:p>
        </w:tc>
        <w:tc>
          <w:tcPr>
            <w:tcW w:type="dxa" w:w="4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Definition</w:t>
            </w:r>
          </w:p>
        </w:tc>
        <w:tc>
          <w:tcPr>
            <w:tcW w:type="dxa" w:w="26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Baseline handling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Restricted — PHI</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Protected Health Information, incl. ePHI, received or created under a BAA</w:t>
            </w:r>
          </w:p>
        </w:tc>
        <w:tc>
          <w:tcPr>
            <w:tcW w:type="dxa" w:w="2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Production systems only; encryption per ARKA-SEC-004; access per ARKA-SEC-003; logging per ARKA-SEC-005</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Non-public business, Customer, security, and personnel information; source code; credentials</w:t>
            </w:r>
          </w:p>
        </w:tc>
        <w:tc>
          <w:tcPr>
            <w:tcW w:type="dxa" w:w="2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Encryption at rest/in transit; need-to-know access; no public or personal storage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Internal</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Operational information not intended for publication</w:t>
            </w:r>
          </w:p>
        </w:tc>
        <w:tc>
          <w:tcPr>
            <w:tcW w:type="dxa" w:w="2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Company-managed systems; no external sharing absent approval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Public</w:t>
            </w:r>
          </w:p>
        </w:tc>
        <w:tc>
          <w:tcPr>
            <w:tcW w:type="dxa" w:w="4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Information approved for publication (website, published documentation, synthetic demo content)</w:t>
            </w:r>
          </w:p>
        </w:tc>
        <w:tc>
          <w:tcPr>
            <w:tcW w:type="dxa" w:w="2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Integrity controls; publication approval by document owner</w:t>
            </w:r>
          </w:p>
        </w:tc>
      </w:tr>
    </w:tbl>
    <w:p>
      <w:pPr>
        <w:spacing w:after="80" w:line="264"/>
        <w:jc w:val="both"/>
      </w:pPr>
    </w:p>
    <w:p>
      <w:pPr>
        <w:spacing w:after="160" w:line="264"/>
        <w:jc w:val="both"/>
      </w:pPr>
      <w:r>
        <w:rPr>
          <w:rFonts w:ascii="Times New Roman" w:cs="Times New Roman" w:eastAsia="Times New Roman" w:hAnsi="Times New Roman"/>
          <w:color w:val="0F172A"/>
          <w:sz w:val="22"/>
          <w:szCs w:val="22"/>
        </w:rPr>
        <w:t xml:space="preserve">Information defaults to </w:t>
      </w:r>
      <w:r>
        <w:rPr>
          <w:rFonts w:ascii="Times New Roman" w:cs="Times New Roman" w:eastAsia="Times New Roman" w:hAnsi="Times New Roman"/>
          <w:b/>
          <w:bCs/>
          <w:color w:val="0F172A"/>
          <w:sz w:val="22"/>
          <w:szCs w:val="22"/>
        </w:rPr>
        <w:t xml:space="preserve">Confidential</w:t>
      </w:r>
      <w:r>
        <w:rPr>
          <w:rFonts w:ascii="Times New Roman" w:cs="Times New Roman" w:eastAsia="Times New Roman" w:hAnsi="Times New Roman"/>
          <w:color w:val="0F172A"/>
          <w:sz w:val="22"/>
          <w:szCs w:val="22"/>
        </w:rPr>
        <w:t xml:space="preserve"> until classified. Aggregations assume the highest classification of any constituent element. Synthetic demonstration data is Public by design but shall be labeled as synthetic wherever a reasonable observer could mistake it for PHI (ARKA-DEMO-001, § 4).</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360"/>
      </w:tblGrid>
      <w:tr>
        <w:trPr>
          <w:tblHeader/>
        </w:trPr>
        <w:tc>
          <w:tcPr>
            <w:tcW w:type="dxa" w:w="3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Record type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Retention</w:t>
            </w:r>
          </w:p>
        </w:tc>
        <w:tc>
          <w:tcPr>
            <w:tcW w:type="dxa" w:w="3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Basis</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HIPAA program documentation (policies, risk analyses, training records, incident files, BAAs, accounting logs)</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6 years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45 C.F.R. §§ 164.316(b)(2)(i), 164.530(j)</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Security-relevant audit logs</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6 years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164.312(b); evidentiary needs</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Customer PHI (production)</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Per BAA / Services Agreement; return or destruction on termination</w:t>
            </w:r>
          </w:p>
        </w:tc>
        <w:tc>
          <w:tcPr>
            <w:tcW w:type="dxa" w:w="3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ARKA-LGL-001, § 5.3</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Backups containing PHI</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35-day rolling + 12-month archival snapshots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ARKA-SEC-007, § 3</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Corporate, tax, and governance records</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Per statutory requirement (minimum 7 years for financial records)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Counsel guidance</w:t>
            </w:r>
          </w:p>
        </w:tc>
      </w:tr>
      <w:tr>
        <w:tc>
          <w:tcPr>
            <w:tcW w:type="dxa" w:w="3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Operational telemetry without security relevance</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 13 months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minimization</w:t>
            </w:r>
          </w:p>
        </w:tc>
      </w:tr>
    </w:tbl>
    <w:p>
      <w:pPr>
        <w:spacing w:after="80" w:line="264"/>
        <w:jc w:val="both"/>
      </w:pPr>
    </w:p>
    <w:p>
      <w:pPr>
        <w:spacing w:after="160" w:line="264"/>
        <w:jc w:val="both"/>
      </w:pPr>
      <w:r>
        <w:rPr>
          <w:rFonts w:ascii="Times New Roman" w:cs="Times New Roman" w:eastAsia="Times New Roman" w:hAnsi="Times New Roman"/>
          <w:color w:val="0F172A"/>
          <w:sz w:val="22"/>
          <w:szCs w:val="22"/>
        </w:rPr>
        <w:t xml:space="preserve">Retention periods are suspended for records subject to a litigation hold issued by counsel; holds are documented, communicated to custodians, and released in writing.</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MEDIA CONTROLS AND DISPOSAL</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Cloud media.</w:t>
      </w:r>
      <w:r>
        <w:rPr>
          <w:rFonts w:ascii="Times New Roman" w:cs="Times New Roman" w:eastAsia="Times New Roman" w:hAnsi="Times New Roman"/>
          <w:color w:val="0F172A"/>
          <w:sz w:val="22"/>
          <w:szCs w:val="22"/>
        </w:rPr>
        <w:t xml:space="preserve"> Decommissioning of cloud storage relies on provider-attested sanitization (each Tier 1 provider’s SOC 2 / ISO attestations cover physical media destruction); ARKA-side disposal consists of cryptographic erasure — destruction of the data-encryption keys — followed by deletion, which together render data unrecoverable.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Endpoints.</w:t>
      </w:r>
      <w:r>
        <w:rPr>
          <w:rFonts w:ascii="Times New Roman" w:cs="Times New Roman" w:eastAsia="Times New Roman" w:hAnsi="Times New Roman"/>
          <w:color w:val="0F172A"/>
          <w:sz w:val="22"/>
          <w:szCs w:val="22"/>
        </w:rPr>
        <w:t xml:space="preserve"> Workforce endpoints are full-disk encrypted from first provisioning; upon decommissioning, devices are cryptographically erased using the platform’s secure-erase facility and the erasure recorded (device, serial, method, date, operator) in the asset inventory.</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Removable media</w:t>
      </w:r>
      <w:r>
        <w:rPr>
          <w:rFonts w:ascii="Times New Roman" w:cs="Times New Roman" w:eastAsia="Times New Roman" w:hAnsi="Times New Roman"/>
          <w:color w:val="0F172A"/>
          <w:sz w:val="22"/>
          <w:szCs w:val="22"/>
        </w:rPr>
        <w:t xml:space="preserve"> are prohibited for any Restricted or Confidential information (ARKA-SEC-012, § 3); any lawfully required exception uses hardware-encrypted media approved in writing by the Security Officer and is sanitized per NIST SP 800-88 (Purge) after use.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Paper.</w:t>
      </w:r>
      <w:r>
        <w:rPr>
          <w:rFonts w:ascii="Times New Roman" w:cs="Times New Roman" w:eastAsia="Times New Roman" w:hAnsi="Times New Roman"/>
          <w:color w:val="0F172A"/>
          <w:sz w:val="22"/>
          <w:szCs w:val="22"/>
        </w:rPr>
        <w:t xml:space="preserve"> ARKA operates paperless with respect to PHI; any incidental paper record containing Confidential information shall be cross-cut shredded.</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Records of movement.</w:t>
      </w:r>
      <w:r>
        <w:rPr>
          <w:rFonts w:ascii="Times New Roman" w:cs="Times New Roman" w:eastAsia="Times New Roman" w:hAnsi="Times New Roman"/>
          <w:color w:val="0F172A"/>
          <w:sz w:val="22"/>
          <w:szCs w:val="22"/>
        </w:rPr>
        <w:t xml:space="preserve"> Receipt, transfer, and disposal of any hardware or media containing ePHI are recorded per 45 C.F.R. § 164.310(d)(2)(iii), including the person responsible.</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CUSTOMER DATA RETURN</w:t>
      </w:r>
    </w:p>
    <w:p>
      <w:pPr>
        <w:spacing w:after="160" w:line="264"/>
        <w:jc w:val="both"/>
      </w:pPr>
      <w:r>
        <w:rPr>
          <w:rFonts w:ascii="Times New Roman" w:cs="Times New Roman" w:eastAsia="Times New Roman" w:hAnsi="Times New Roman"/>
          <w:color w:val="0F172A"/>
          <w:sz w:val="22"/>
          <w:szCs w:val="22"/>
        </w:rPr>
        <w:t xml:space="preserve">Upon termination of a Customer relationship, PHI is returned in a documented, machine-readable export (FHIR R4 resources or agreed format) or destroyed, at the Customer’s election, with written certification within sixty (60) days, subject only to the infeasibility provisions of ARKA-LGL-001, § 5.3.</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ARKA-SEC-011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ARKA-SEC-011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Data Classification, Retention &amp; Secure Disposal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Classification, Retention &amp; Secure Disposal Policy</dc:title>
  <dc:creator>ARKA Health, Inc.</dc:creator>
  <dc:description>Device and media controls, 45 C.F.R. § 164.310(d); Confidentiality criteria, SOC 2 (C1)</dc:description>
  <cp:lastModifiedBy>Un-named</cp:lastModifiedBy>
  <cp:revision>1</cp:revision>
  <dcterms:created xsi:type="dcterms:W3CDTF">2026-06-11T01:32:56.589Z</dcterms:created>
  <dcterms:modified xsi:type="dcterms:W3CDTF">2026-06-11T01:32:56.589Z</dcterms:modified>
</cp:coreProperties>
</file>

<file path=docProps/custom.xml><?xml version="1.0" encoding="utf-8"?>
<Properties xmlns="http://schemas.openxmlformats.org/officeDocument/2006/custom-properties" xmlns:vt="http://schemas.openxmlformats.org/officeDocument/2006/docPropsVTypes"/>
</file>