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HIPAA SECURITY RISK ASSESSMENT REPORT (2026)</w:t>
      </w:r>
    </w:p>
    <w:p>
      <w:pPr>
        <w:spacing w:after="60"/>
        <w:jc w:val="center"/>
      </w:pPr>
      <w:r>
        <w:rPr>
          <w:rFonts w:ascii="Arial" w:cs="Arial" w:eastAsia="Arial" w:hAnsi="Arial"/>
          <w:i/>
          <w:iCs/>
          <w:color w:val="475569"/>
          <w:sz w:val="21"/>
          <w:szCs w:val="21"/>
        </w:rPr>
        <w:t xml:space="preserve">Initial enterprise risk analysis under 45 C.F.R. § 164.308(a)(1)(ii)(A) — NIST SP 800-30 methodology</w:t>
      </w:r>
    </w:p>
    <w:p>
      <w:pPr>
        <w:spacing w:after="320"/>
        <w:jc w:val="center"/>
      </w:pPr>
      <w:r>
        <w:rPr>
          <w:rFonts w:ascii="Arial" w:cs="Arial" w:eastAsia="Arial" w:hAnsi="Arial"/>
          <w:b/>
          <w:bCs/>
          <w:color w:val="0D9488"/>
          <w:spacing w:val="20"/>
          <w:sz w:val="17"/>
          <w:szCs w:val="17"/>
        </w:rPr>
        <w:t xml:space="preserve">ARKA-RDY-001  ·  Version 1.0  ·  Confidential — Restricted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Restricted Distribution</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EXECUTIVE SUMMARY</w:t>
      </w:r>
    </w:p>
    <w:p>
      <w:pPr>
        <w:spacing w:after="160" w:line="264"/>
        <w:jc w:val="both"/>
      </w:pPr>
      <w:r>
        <w:rPr>
          <w:rFonts w:ascii="Times New Roman" w:cs="Times New Roman" w:eastAsia="Times New Roman" w:hAnsi="Times New Roman"/>
          <w:color w:val="0F172A"/>
          <w:sz w:val="22"/>
          <w:szCs w:val="22"/>
        </w:rPr>
        <w:t xml:space="preserve">This report documents the initial enterprise security risk analysis of ARKA Health, Inc., performed by the Security Officer in accordance with ARKA-SEC-002 and NIST SP 800-30 (Rev. 1). The assessment covered the ARKA Platform and all supporting systems identified in the technology asset inventory as of June 2026. The central finding is that </w:t>
      </w:r>
      <w:r>
        <w:rPr>
          <w:rFonts w:ascii="Times New Roman" w:cs="Times New Roman" w:eastAsia="Times New Roman" w:hAnsi="Times New Roman"/>
          <w:b/>
          <w:bCs/>
          <w:color w:val="0F172A"/>
          <w:sz w:val="22"/>
          <w:szCs w:val="22"/>
        </w:rPr>
        <w:t xml:space="preserve">ARKA presently creates, receives, maintains, and transmits no Protected Health Information</w:t>
      </w:r>
      <w:r>
        <w:rPr>
          <w:rFonts w:ascii="Times New Roman" w:cs="Times New Roman" w:eastAsia="Times New Roman" w:hAnsi="Times New Roman"/>
          <w:color w:val="0F172A"/>
          <w:sz w:val="22"/>
          <w:szCs w:val="22"/>
        </w:rPr>
        <w:t xml:space="preserve">: the public demonstration environment operates exclusively on synthetic data (ARKA-DEMO-001), and no business associate agreement is yet in effect. The risks assessed are accordingly (a) present risks to Company confidential information and platform integrity, and (b) prospective risks to ePHI under the planned production architecture, assessed now so that remediation precedes the first PHI-bearing engagement.</w:t>
      </w:r>
    </w:p>
    <w:p>
      <w:pPr>
        <w:spacing w:after="160" w:line="264"/>
        <w:jc w:val="both"/>
      </w:pPr>
      <w:r>
        <w:rPr>
          <w:rFonts w:ascii="Times New Roman" w:cs="Times New Roman" w:eastAsia="Times New Roman" w:hAnsi="Times New Roman"/>
          <w:color w:val="0F172A"/>
          <w:sz w:val="22"/>
          <w:szCs w:val="22"/>
        </w:rPr>
        <w:t xml:space="preserve">Eleven risk scenarios were assessed. After application of existing controls, no scenario was rated Critical; three were rated High and are subject to the remediation plan in Section 5, each with a named owner and a due date in advance of production PHI onboarding.</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SCOPE AND METHOD</w:t>
      </w:r>
    </w:p>
    <w:p>
      <w:pPr>
        <w:pStyle w:val="ListParagraph"/>
        <w:numPr>
          <w:ilvl w:val="0"/>
          <w:numId w:val="2"/>
        </w:numPr>
        <w:spacing w:after="90" w:line="264"/>
        <w:jc w:val="both"/>
      </w:pPr>
      <w:r>
        <w:rPr>
          <w:rFonts w:ascii="Times New Roman" w:cs="Times New Roman" w:eastAsia="Times New Roman" w:hAnsi="Times New Roman"/>
          <w:b/>
          <w:bCs/>
          <w:color w:val="0F172A"/>
          <w:sz w:val="22"/>
          <w:szCs w:val="22"/>
        </w:rPr>
        <w:t xml:space="preserve">Assets reviewed:</w:t>
      </w:r>
      <w:r>
        <w:rPr>
          <w:rFonts w:ascii="Times New Roman" w:cs="Times New Roman" w:eastAsia="Times New Roman" w:hAnsi="Times New Roman"/>
          <w:color w:val="0F172A"/>
          <w:sz w:val="22"/>
          <w:szCs w:val="22"/>
        </w:rPr>
        <w:t xml:space="preserve"> application tier (Next.js services on Vercel), managed PostgreSQL and authentication (Supabase), AWS account (target scaling architecture), GitHub organization (source, CI/CD), corporate SaaS, founder endpoints, and the public demonstration environment.</w:t>
      </w:r>
    </w:p>
    <w:p>
      <w:pPr>
        <w:pStyle w:val="ListParagraph"/>
        <w:numPr>
          <w:ilvl w:val="0"/>
          <w:numId w:val="2"/>
        </w:numPr>
        <w:spacing w:after="90" w:line="264"/>
        <w:jc w:val="both"/>
      </w:pPr>
      <w:r>
        <w:rPr>
          <w:rFonts w:ascii="Times New Roman" w:cs="Times New Roman" w:eastAsia="Times New Roman" w:hAnsi="Times New Roman"/>
          <w:b/>
          <w:bCs/>
          <w:color w:val="0F172A"/>
          <w:sz w:val="22"/>
          <w:szCs w:val="22"/>
        </w:rPr>
        <w:t xml:space="preserve">Data flows mapped:</w:t>
      </w:r>
      <w:r>
        <w:rPr>
          <w:rFonts w:ascii="Times New Roman" w:cs="Times New Roman" w:eastAsia="Times New Roman" w:hAnsi="Times New Roman"/>
          <w:color w:val="0F172A"/>
          <w:sz w:val="22"/>
          <w:szCs w:val="22"/>
        </w:rPr>
        <w:t xml:space="preserve"> website/demo traffic (synthetic data only); planned production flows — EHR-launched SMART on FHIR sessions, FHIR R4 prefetch into CDS services, CDS Hooks card responses, and payer-facing prior-authorization documentation flows (Da Vinci CRD/DTR/PAS).</w:t>
      </w:r>
    </w:p>
    <w:p>
      <w:pPr>
        <w:pStyle w:val="ListParagraph"/>
        <w:numPr>
          <w:ilvl w:val="0"/>
          <w:numId w:val="2"/>
        </w:numPr>
        <w:spacing w:after="90" w:line="264"/>
        <w:jc w:val="both"/>
      </w:pPr>
      <w:r>
        <w:rPr>
          <w:rFonts w:ascii="Times New Roman" w:cs="Times New Roman" w:eastAsia="Times New Roman" w:hAnsi="Times New Roman"/>
          <w:b/>
          <w:bCs/>
          <w:color w:val="0F172A"/>
          <w:sz w:val="22"/>
          <w:szCs w:val="22"/>
        </w:rPr>
        <w:t xml:space="preserve">Method:</w:t>
      </w:r>
      <w:r>
        <w:rPr>
          <w:rFonts w:ascii="Times New Roman" w:cs="Times New Roman" w:eastAsia="Times New Roman" w:hAnsi="Times New Roman"/>
          <w:color w:val="0F172A"/>
          <w:sz w:val="22"/>
          <w:szCs w:val="22"/>
        </w:rPr>
        <w:t xml:space="preserve"> threat–vulnerability pairing per asset class; likelihood and impact on five-point scales; inherent rating before controls; residual rating after controls documented in the ARKA-SEC series; treatment per ARKA-SEC-002, § 2.</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RISK REGISTER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
        <w:gridCol w:w="3000"/>
        <w:gridCol w:w="1250"/>
        <w:gridCol w:w="1250"/>
        <w:gridCol w:w="1450"/>
        <w:gridCol w:w="2100"/>
      </w:tblGrid>
      <w:tr>
        <w:trPr>
          <w:tblHeader/>
        </w:trPr>
        <w:tc>
          <w:tcPr>
            <w:tcW w:type="dxa" w:w="31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Risk scenario</w:t>
            </w:r>
          </w:p>
        </w:tc>
        <w:tc>
          <w:tcPr>
            <w:tcW w:type="dxa" w:w="125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Likelihood</w:t>
            </w:r>
          </w:p>
        </w:tc>
        <w:tc>
          <w:tcPr>
            <w:tcW w:type="dxa" w:w="125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Impact</w:t>
            </w:r>
          </w:p>
        </w:tc>
        <w:tc>
          <w:tcPr>
            <w:tcW w:type="dxa" w:w="145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Residual</w:t>
            </w:r>
          </w:p>
        </w:tc>
        <w:tc>
          <w:tcPr>
            <w:tcW w:type="dxa" w:w="2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Primary controls</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Credential phishing of founder/admin account leading to source or infrastructure compromise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Possible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Major</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High</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MFA with hardware keys (SEC-003); alerting (SEC-005); R-1 below</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2</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Supply-chain vulnerability in third-party dependency reaches production</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Possible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Moderate</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D9488"/>
                <w:sz w:val="19"/>
                <w:szCs w:val="19"/>
              </w:rPr>
              <w:t xml:space="preserve">Medium</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CI dependency audit, pinned lockfiles, release gating (SEC-010)</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3</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Misconfiguration of cloud tenancy (public bucket, permissive policy) exposing confidential data</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Possible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Major</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High</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IaC review, CIS hardening (SEC-001); R-2 below</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Ransomware/destructive compromise of production data tier</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Unlikely</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Severe</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D9488"/>
                <w:sz w:val="19"/>
                <w:szCs w:val="19"/>
              </w:rPr>
              <w:t xml:space="preserve">Medium</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Immutable cross-region backups, restore testing (SEC-007)</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5</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PHI submitted by a user into the public demo in violation of posted terms</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Possible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Moderate</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D9488"/>
                <w:sz w:val="19"/>
                <w:szCs w:val="19"/>
              </w:rPr>
              <w:t xml:space="preserve">Medium</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No-PHI notices, input constraints, purge procedure (DEMO-001)</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6</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Key-person dependency: single individual holds privileged access and program knowledge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Likely</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Moderate</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High</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Documented runbooks; R-3 below</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7</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 concentration: outage or security failure of a Tier 1 provider</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Possible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Moderate</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D9488"/>
                <w:sz w:val="19"/>
                <w:szCs w:val="19"/>
              </w:rPr>
              <w:t xml:space="preserve">Medium</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 monitoring (SEC-009); recovery objectives (SEC-007)</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8</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Tenant-isolation defect in multi-tenant data layer (future production)</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Unlikely</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Severe</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D9488"/>
                <w:sz w:val="19"/>
                <w:szCs w:val="19"/>
              </w:rPr>
              <w:t xml:space="preserve">Medium</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Row-level security, authorization tests in CI (SEC-003, SEC-010)</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9</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Loss/theft of an endpoint containing cached confidential data</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Possible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Minor</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Low</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FDE, remote wipe, no-local-PHI rule (SEC-012)</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Insider misuse of access to confidential or (future) Customer data</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Unlikely</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Major</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D9488"/>
                <w:sz w:val="19"/>
                <w:szCs w:val="19"/>
              </w:rPr>
              <w:t xml:space="preserve">Medium</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Least privilege, immutable logging, sanctions (SEC-003/005/008)</w:t>
            </w:r>
          </w:p>
        </w:tc>
      </w:tr>
      <w:tr>
        <w:tc>
          <w:tcPr>
            <w:tcW w:type="dxa" w:w="31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11</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Inadequate audit evidence at first external examination</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Possible</w:t>
            </w:r>
          </w:p>
        </w:tc>
        <w:tc>
          <w:tcPr>
            <w:tcW w:type="dxa" w:w="12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Moderate</w:t>
            </w:r>
          </w:p>
        </w:tc>
        <w:tc>
          <w:tcPr>
            <w:tcW w:type="dxa" w:w="145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D9488"/>
                <w:sz w:val="19"/>
                <w:szCs w:val="19"/>
              </w:rPr>
              <w:t xml:space="preserve">Medium</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Evidence-generation requirements (SEC-001, § 2(e)); RDY-002 plan</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4. CURRENT-STATE OBSERVATIONS</w:t>
      </w:r>
    </w:p>
    <w:p>
      <w:pPr>
        <w:pStyle w:val="ListParagraph"/>
        <w:numPr>
          <w:ilvl w:val="0"/>
          <w:numId w:val="2"/>
        </w:numPr>
        <w:spacing w:after="90" w:line="264"/>
        <w:jc w:val="both"/>
      </w:pPr>
      <w:r>
        <w:rPr>
          <w:rFonts w:ascii="Times New Roman" w:cs="Times New Roman" w:eastAsia="Times New Roman" w:hAnsi="Times New Roman"/>
          <w:color w:val="0F172A"/>
          <w:sz w:val="22"/>
          <w:szCs w:val="22"/>
        </w:rPr>
        <w:t xml:space="preserve">Encryption in transit and at rest is provided by default across the current provider stack; HSTS is enforced on public endpoints.</w:t>
      </w:r>
    </w:p>
    <w:p>
      <w:pPr>
        <w:pStyle w:val="ListParagraph"/>
        <w:numPr>
          <w:ilvl w:val="0"/>
          <w:numId w:val="2"/>
        </w:numPr>
        <w:spacing w:after="90" w:line="264"/>
        <w:jc w:val="both"/>
      </w:pPr>
      <w:r>
        <w:rPr>
          <w:rFonts w:ascii="Times New Roman" w:cs="Times New Roman" w:eastAsia="Times New Roman" w:hAnsi="Times New Roman"/>
          <w:color w:val="0F172A"/>
          <w:sz w:val="22"/>
          <w:szCs w:val="22"/>
        </w:rPr>
        <w:t xml:space="preserve">Source control enforces protected branches with CI gates, including compliance test suites, scope-boundary linting, and secret scanning.</w:t>
      </w:r>
    </w:p>
    <w:p>
      <w:pPr>
        <w:pStyle w:val="ListParagraph"/>
        <w:numPr>
          <w:ilvl w:val="0"/>
          <w:numId w:val="2"/>
        </w:numPr>
        <w:spacing w:after="90" w:line="264"/>
        <w:jc w:val="both"/>
      </w:pPr>
      <w:r>
        <w:rPr>
          <w:rFonts w:ascii="Times New Roman" w:cs="Times New Roman" w:eastAsia="Times New Roman" w:hAnsi="Times New Roman"/>
          <w:color w:val="0F172A"/>
          <w:sz w:val="22"/>
          <w:szCs w:val="22"/>
        </w:rPr>
        <w:t xml:space="preserve">The demonstration environment carries conspicuous synthetic-data notices and contains no mechanism for bulk clinical data ingestion.</w:t>
      </w:r>
    </w:p>
    <w:p>
      <w:pPr>
        <w:pStyle w:val="ListParagraph"/>
        <w:numPr>
          <w:ilvl w:val="0"/>
          <w:numId w:val="2"/>
        </w:numPr>
        <w:spacing w:after="90" w:line="264"/>
        <w:jc w:val="both"/>
      </w:pPr>
      <w:r>
        <w:rPr>
          <w:rFonts w:ascii="Times New Roman" w:cs="Times New Roman" w:eastAsia="Times New Roman" w:hAnsi="Times New Roman"/>
          <w:color w:val="0F172A"/>
          <w:sz w:val="22"/>
          <w:szCs w:val="22"/>
        </w:rPr>
        <w:t xml:space="preserve">Formal quarterly access reviews, the first annual penetration test, centralized log aggregation with alerting coverage targets, and the first full restore exercise remain open items, sequenced below.</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REMEDIATION PLAN (HIGH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2400"/>
        <w:gridCol w:w="1300"/>
        <w:gridCol w:w="1400"/>
      </w:tblGrid>
      <w:tr>
        <w:trPr>
          <w:tblHeader/>
        </w:trPr>
        <w:tc>
          <w:tcPr>
            <w:tcW w:type="dxa" w:w="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ID</w:t>
            </w:r>
          </w:p>
        </w:tc>
        <w:tc>
          <w:tcPr>
            <w:tcW w:type="dxa" w:w="3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Action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Risk addressed</w:t>
            </w:r>
          </w:p>
        </w:tc>
        <w:tc>
          <w:tcPr>
            <w:tcW w:type="dxa" w:w="1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Owner</w:t>
            </w:r>
          </w:p>
        </w:tc>
        <w:tc>
          <w:tcPr>
            <w:tcW w:type="dxa" w:w="1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Due</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Complete migration of all administrative accounts to phishing-resistant FIDO2 hardware keys; disable all fallback factors weaker than platform passkeys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July 31, 2026</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R-2</w:t>
            </w:r>
          </w:p>
        </w:tc>
        <w:tc>
          <w:tcPr>
            <w:tcW w:type="dxa" w:w="3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 automated cloud-posture scanning against CIS Benchmarks for AWS/Vercel/Supabase configuration; remediate all High findings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#3</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Aug. 31, 2026</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R-3</w:t>
            </w:r>
          </w:p>
        </w:tc>
        <w:tc>
          <w:tcPr>
            <w:tcW w:type="dxa" w:w="3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Document and test deputy procedures: sealed credential escrow, second authorized administrator, runbook for assumption of operations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#6</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CEO</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Sept. 30, 2026</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Commission first independent penetration test (pre-production scope)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 #3, #8</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Oct. 31, 2026</w:t>
            </w:r>
          </w:p>
        </w:tc>
      </w:tr>
      <w:tr>
        <w:tc>
          <w:tcPr>
            <w:tcW w:type="dxa" w:w="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R-5</w:t>
            </w:r>
          </w:p>
        </w:tc>
        <w:tc>
          <w:tcPr>
            <w:tcW w:type="dxa" w:w="3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Stand up centralized log aggregation with alert rules of SEC-005, § 4 verified by simulation</w:t>
            </w:r>
          </w:p>
        </w:tc>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 #10</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Sept. 30, 2026</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6. ACCEPTANCE AND NEXT ASSESSMENT</w:t>
      </w:r>
    </w:p>
    <w:p>
      <w:pPr>
        <w:spacing w:after="160" w:line="264"/>
        <w:jc w:val="both"/>
      </w:pPr>
      <w:r>
        <w:rPr>
          <w:rFonts w:ascii="Times New Roman" w:cs="Times New Roman" w:eastAsia="Times New Roman" w:hAnsi="Times New Roman"/>
          <w:color w:val="0F172A"/>
          <w:sz w:val="22"/>
          <w:szCs w:val="22"/>
        </w:rPr>
        <w:t xml:space="preserve">The residual Medium and Low risks identified herein are accepted pending the remediation schedule above. This analysis shall be refreshed upon any trigger in ARKA-SEC-002, § 3, upon execution of the Company’s first BAA (which shall be treated as a material change), and in any event no later than June 2027.</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HIPAA Security Risk Assessment Report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Security Risk Assessment Report (2026)</dc:title>
  <dc:creator>ARKA Health, Inc.</dc:creator>
  <dc:description>Initial enterprise risk analysis under 45 C.F.R. § 164.308(a)(1)(ii)(A) — NIST SP 800-30 methodology</dc:description>
  <cp:lastModifiedBy>Un-named</cp:lastModifiedBy>
  <cp:revision>1</cp:revision>
  <dcterms:created xsi:type="dcterms:W3CDTF">2026-06-11T01:35:14.957Z</dcterms:created>
  <dcterms:modified xsi:type="dcterms:W3CDTF">2026-06-11T01:35:14.957Z</dcterms:modified>
</cp:coreProperties>
</file>

<file path=docProps/custom.xml><?xml version="1.0" encoding="utf-8"?>
<Properties xmlns="http://schemas.openxmlformats.org/officeDocument/2006/custom-properties" xmlns:vt="http://schemas.openxmlformats.org/officeDocument/2006/docPropsVTypes"/>
</file>