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SOC 2 READINESS &amp; GAP ASSESSMENT</w:t>
      </w:r>
    </w:p>
    <w:p>
      <w:pPr>
        <w:spacing w:after="60"/>
        <w:jc w:val="center"/>
      </w:pPr>
      <w:r>
        <w:rPr>
          <w:rFonts w:ascii="Arial" w:cs="Arial" w:eastAsia="Arial" w:hAnsi="Arial"/>
          <w:i/>
          <w:iCs/>
          <w:color w:val="475569"/>
          <w:sz w:val="21"/>
          <w:szCs w:val="21"/>
        </w:rPr>
        <w:t xml:space="preserve">Self-assessment against the AICPA Trust Services Criteria (2017, with 2022 points of focus) — Security, Availability, Confidentiality</w:t>
      </w:r>
    </w:p>
    <w:p>
      <w:pPr>
        <w:spacing w:after="320"/>
        <w:jc w:val="center"/>
      </w:pPr>
      <w:r>
        <w:rPr>
          <w:rFonts w:ascii="Arial" w:cs="Arial" w:eastAsia="Arial" w:hAnsi="Arial"/>
          <w:b/>
          <w:bCs/>
          <w:color w:val="0D9488"/>
          <w:spacing w:val="20"/>
          <w:sz w:val="17"/>
          <w:szCs w:val="17"/>
        </w:rPr>
        <w:t xml:space="preserve">ARKA-RDY-002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ARKA-RDY-002</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 AND HONEST-CLAIMS STATEMENT</w:t>
      </w:r>
    </w:p>
    <w:p>
      <w:pPr>
        <w:spacing w:after="160" w:line="264"/>
        <w:jc w:val="both"/>
      </w:pPr>
      <w:r>
        <w:rPr>
          <w:rFonts w:ascii="Times New Roman" w:cs="Times New Roman" w:eastAsia="Times New Roman" w:hAnsi="Times New Roman"/>
          <w:color w:val="0F172A"/>
          <w:sz w:val="22"/>
          <w:szCs w:val="22"/>
        </w:rPr>
        <w:t xml:space="preserve">This document records ARKA Health, Inc.’s self-assessment of control readiness for a SOC 2 examination covering the Security, Availability, and Confidentiality categories. </w:t>
      </w:r>
      <w:r>
        <w:rPr>
          <w:rFonts w:ascii="Times New Roman" w:cs="Times New Roman" w:eastAsia="Times New Roman" w:hAnsi="Times New Roman"/>
          <w:b/>
          <w:bCs/>
          <w:color w:val="0F172A"/>
          <w:sz w:val="22"/>
          <w:szCs w:val="22"/>
        </w:rPr>
        <w:t xml:space="preserve">ARKA has not undergone a SOC 2 examination and makes no representation of SOC 2 attestation.</w:t>
      </w:r>
      <w:r>
        <w:rPr>
          <w:rFonts w:ascii="Times New Roman" w:cs="Times New Roman" w:eastAsia="Times New Roman" w:hAnsi="Times New Roman"/>
          <w:color w:val="0F172A"/>
          <w:sz w:val="22"/>
          <w:szCs w:val="22"/>
        </w:rPr>
        <w:t xml:space="preserve"> Until an independent service auditor issues a report, external materials shall describe this program only as “SOC 2 readiness in progress” or “audit-ready,” per ARKA-RDY-004, § 4. This assessment is a management self-evaluation and is not an attestation under AT-C § 205.</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PLANNED EXAMINATION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Categories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(CC-series, required); Availability (A1); Confidentiality (C1)</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Report sequence</w:t>
            </w:r>
          </w:p>
        </w:tc>
        <w:tc>
          <w:tcPr>
            <w:tcW w:type="dxa" w:w="6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Type I as of December 2026 (design of controls), followed by Type II covering an initial observation period of not less than three (3) months ending mid-2027</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System description</w:t>
            </w:r>
          </w:p>
        </w:tc>
        <w:tc>
          <w:tcPr>
            <w:tcW w:type="dxa" w:w="6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The ARKA Platform — clinical decision-support and administrative-workflow services — and supporting infrastructure (Vercel, Supabase, AWS, GitHub)</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Carve-outs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Subservice organizations (cloud providers) under the carve-out method, with complementary subservice-organization controls mapped per ARKA-SEC-009, § 5</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Auditor status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Independent CPA firm selection in progress; engagement letter targeted for Q3 2026</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3. CRITERIA-BY-CRITERIA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4250"/>
        <w:gridCol w:w="1500"/>
        <w:gridCol w:w="2360"/>
      </w:tblGrid>
      <w:tr>
        <w:trPr>
          <w:tblHeader/>
        </w:trPr>
        <w:tc>
          <w:tcPr>
            <w:tcW w:type="dxa" w:w="125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Criteria</w:t>
            </w:r>
          </w:p>
        </w:tc>
        <w:tc>
          <w:tcPr>
            <w:tcW w:type="dxa" w:w="425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ARKA implementation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Status</w:t>
            </w:r>
          </w:p>
        </w:tc>
        <w:tc>
          <w:tcPr>
            <w:tcW w:type="dxa" w:w="2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Evidence source</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CC1 — Control environment</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Governance charter; designated officers; code-of-conduct and confidentiality undertakings; sanctions policy</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GOV-001; SEC-008; signed attestations</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CC2 — Communication &amp; information</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Policy suite distributed to workforce; Trust Center and security page; incident reporting channels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Policy register; website; SEC-006, § 4(a)</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CC3 — Risk assessment</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NIST 800-30 analysis; triggered re-assessments; documented register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SEC-002; RDY-001</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CC4 — Monitoring activities</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Weekly security review; quarterly access review; annual evaluation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SEC-005, § 4 (log-aggregation build-out due Sept. 2026)</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CC5 — Control activities</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Policy-to-control mapping across SEC series; exception register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SEC-001, § 4</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CC6 — Logical &amp; physical access</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RBAC matrix; MFA (FIDO2 for admins); tenant RLS; provider physical controls inherited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SEC-003; R-1 hardware-key completion due July 2026</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CC7 — System operations</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Centralized logging, alerting, incident plan, annual tabletop</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SEC-005/006; R-5 due Sept. 2026</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CC8 — Change management</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Protected branches, CI gates, change classes, rollback standards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SEC-010; repository settings; CI logs</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CC9 — Risk mitigation</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Vendor tiering and diligence; cyber-insurance procurement underway</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SEC-009; insurance binder expected Q3 2026</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A1 — Availability</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RTO/RPO matrix; immutable cross-region backups; quarterly restore tests; annual recovery exercise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SEC-007 (first quarterly restore evidence due Q3 2026)</w:t>
            </w:r>
          </w:p>
        </w:tc>
      </w:tr>
      <w:tr>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C1 — Confidentiality</w:t>
            </w:r>
          </w:p>
        </w:tc>
        <w:tc>
          <w:tcPr>
            <w:tcW w:type="dxa" w:w="4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Classification scheme; retention schedule; NIST 800-88 disposal; customer-data return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c>
          <w:tcPr>
            <w:tcW w:type="dxa" w:w="2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SEC-011; LGL-001, § 5.3</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4. GAP REMEDIATION PLAN</w:t>
      </w:r>
    </w:p>
    <w:p>
      <w:pPr>
        <w:spacing w:after="160" w:line="264"/>
        <w:jc w:val="both"/>
      </w:pPr>
      <w:r>
        <w:rPr>
          <w:rFonts w:ascii="Times New Roman" w:cs="Times New Roman" w:eastAsia="Times New Roman" w:hAnsi="Times New Roman"/>
          <w:color w:val="0F172A"/>
          <w:sz w:val="22"/>
          <w:szCs w:val="22"/>
        </w:rPr>
        <w:t xml:space="preserve">Gaps identified above resolve through the same remediation register as RDY-001, § 5 (items R-1 through R-5), plus: (G-1) executed engagement letter with the selected audit firm — Q3 2026; (G-2) three (3) months of operating evidence for recurring controls (access reviews, restore tests, monitoring reviews) — accruing from July 2026; and (G-3) cyber-liability insurance bound — Q3 2026. Upon completion, management will commission the Type I examination; the Type II observation window opens immediately thereafter so that the Type II report is available to Customer diligence in 2027.</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ARKA-RDY-002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ARKA-RDY-002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SOC 2 Readiness &amp; Gap Assessment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2 Readiness &amp; Gap Assessment</dc:title>
  <dc:creator>ARKA Health, Inc.</dc:creator>
  <dc:description>Self-assessment against the AICPA Trust Services Criteria (2017, with 2022 points of focus) — Security, Availability, Confidentiality</dc:description>
  <cp:lastModifiedBy>Un-named</cp:lastModifiedBy>
  <cp:revision>1</cp:revision>
  <dcterms:created xsi:type="dcterms:W3CDTF">2026-06-11T01:35:15.039Z</dcterms:created>
  <dcterms:modified xsi:type="dcterms:W3CDTF">2026-06-11T01:35:15.039Z</dcterms:modified>
</cp:coreProperties>
</file>

<file path=docProps/custom.xml><?xml version="1.0" encoding="utf-8"?>
<Properties xmlns="http://schemas.openxmlformats.org/officeDocument/2006/custom-properties" xmlns:vt="http://schemas.openxmlformats.org/officeDocument/2006/docPropsVTypes"/>
</file>