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HITRUST E1 READINESS ROADMAP</w:t>
      </w:r>
    </w:p>
    <w:p>
      <w:pPr>
        <w:spacing w:after="60"/>
        <w:jc w:val="center"/>
      </w:pPr>
      <w:r>
        <w:rPr>
          <w:rFonts w:ascii="Arial" w:cs="Arial" w:eastAsia="Arial" w:hAnsi="Arial"/>
          <w:i/>
          <w:iCs/>
          <w:color w:val="475569"/>
          <w:sz w:val="21"/>
          <w:szCs w:val="21"/>
        </w:rPr>
        <w:t xml:space="preserve">Path to HITRUST Essentials, 1-Year (e1) Validated Assessment under HITRUST CSF v11</w:t>
      </w:r>
    </w:p>
    <w:p>
      <w:pPr>
        <w:spacing w:after="320"/>
        <w:jc w:val="center"/>
      </w:pPr>
      <w:r>
        <w:rPr>
          <w:rFonts w:ascii="Arial" w:cs="Arial" w:eastAsia="Arial" w:hAnsi="Arial"/>
          <w:b/>
          <w:bCs/>
          <w:color w:val="0D9488"/>
          <w:spacing w:val="20"/>
          <w:sz w:val="17"/>
          <w:szCs w:val="17"/>
        </w:rPr>
        <w:t xml:space="preserve">ARKA-RDY-003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ARKA-RDY-003</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RATIONALE FOR THE e1 TIER</w:t>
      </w:r>
    </w:p>
    <w:p>
      <w:pPr>
        <w:spacing w:after="160" w:line="264"/>
        <w:jc w:val="both"/>
      </w:pPr>
      <w:r>
        <w:rPr>
          <w:rFonts w:ascii="Times New Roman" w:cs="Times New Roman" w:eastAsia="Times New Roman" w:hAnsi="Times New Roman"/>
          <w:color w:val="0F172A"/>
          <w:sz w:val="22"/>
          <w:szCs w:val="22"/>
        </w:rPr>
        <w:t xml:space="preserve">Hospital systems and payers increasingly request HITRUST assurance from clinical software vendors. HITRUST offers three progressive assessments — e1 (44 curated requirements addressing essential cybersecurity hygiene), i1 (leading-practice, ~180 requirements), and r2 (expanded, risk-based). For a company of ARKA’s size and data posture, the </w:t>
      </w:r>
      <w:r>
        <w:rPr>
          <w:rFonts w:ascii="Times New Roman" w:cs="Times New Roman" w:eastAsia="Times New Roman" w:hAnsi="Times New Roman"/>
          <w:b/>
          <w:bCs/>
          <w:color w:val="0F172A"/>
          <w:sz w:val="22"/>
          <w:szCs w:val="22"/>
        </w:rPr>
        <w:t xml:space="preserve">e1 Validated Assessment</w:t>
      </w:r>
      <w:r>
        <w:rPr>
          <w:rFonts w:ascii="Times New Roman" w:cs="Times New Roman" w:eastAsia="Times New Roman" w:hAnsi="Times New Roman"/>
          <w:color w:val="0F172A"/>
          <w:sz w:val="22"/>
          <w:szCs w:val="22"/>
        </w:rPr>
        <w:t xml:space="preserve"> is the appropriate entry tier: it is achievable on a startup budget and timeline, produces a certification (unlike the readiness self-assessment), is renewed annually, and shares an estimated 80–90% control overlap with the SOC 2 program documented in ARKA-RDY-002, allowing one body of evidence to serve both. ARKA will pursue e1 certification following issuance of the SOC 2 Type I report, with progression to i1 evaluated at the first e1 renewal. </w:t>
      </w:r>
      <w:r>
        <w:rPr>
          <w:rFonts w:ascii="Times New Roman" w:cs="Times New Roman" w:eastAsia="Times New Roman" w:hAnsi="Times New Roman"/>
          <w:b/>
          <w:bCs/>
          <w:color w:val="0F172A"/>
          <w:sz w:val="22"/>
          <w:szCs w:val="22"/>
        </w:rPr>
        <w:t xml:space="preserve">ARKA is not HITRUST certified and makes no such representation until a validated assessment is issued.</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CONTROL-DOMAIN COVERAGE</w:t>
      </w:r>
    </w:p>
    <w:p>
      <w:pPr>
        <w:spacing w:after="160" w:line="264"/>
        <w:jc w:val="both"/>
      </w:pPr>
      <w:r>
        <w:rPr>
          <w:rFonts w:ascii="Times New Roman" w:cs="Times New Roman" w:eastAsia="Times New Roman" w:hAnsi="Times New Roman"/>
          <w:color w:val="0F172A"/>
          <w:sz w:val="22"/>
          <w:szCs w:val="22"/>
        </w:rPr>
        <w:t xml:space="preserve">The e1’s 44 requirement statements concentrate on foundational practices. ARKA’s mapping, using the same status conventions as ARKA-RDY-002: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4360"/>
        <w:gridCol w:w="1700"/>
      </w:tblGrid>
      <w:tr>
        <w:trPr>
          <w:tblHeader/>
        </w:trPr>
        <w:tc>
          <w:tcPr>
            <w:tcW w:type="dxa" w:w="3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e1 focus area</w:t>
            </w:r>
          </w:p>
        </w:tc>
        <w:tc>
          <w:tcPr>
            <w:tcW w:type="dxa" w:w="43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ARKA implementing policy / control</w:t>
            </w:r>
          </w:p>
        </w:tc>
        <w:tc>
          <w:tcPr>
            <w:tcW w:type="dxa" w:w="1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Status</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Access control &amp; MFA</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SEC-003 (RBAC matrix, FIDO2 for administrators, session limits)</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Endpoint protection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SEC-012 (managed endpoints, FDE, EDR)</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Patch &amp; vulnerability management</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SEC-010, § 5 (CI dependency audit; 6-month scans; annual pen test)</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Logging &amp; monitoring</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SEC-005 (centralized, immutable logs; alert catalog)</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Incident response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SEC-006 (plan, severity model, annual exercise)</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Backup &amp; resilience</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SEC-007 (immutable offsite backups, tested restores)</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Configuration hardening</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SEC-001, § 5(g) (CIS benchmarks; IaC)</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B45309"/>
                <w:sz w:val="19"/>
                <w:szCs w:val="19"/>
              </w:rPr>
              <w:t xml:space="preserve">Partial</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Network protection &amp; segmentation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SEC-001, § 5(f); provider-managed isolation</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Data protection &amp; encryption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SEC-004 (AES-256; TLS 1.2+; KMS custody)</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Third-party risk</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SEC-009 (tiering, BAAs, annual verification)</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Security awareness</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SEC-008 (onboarding + annual training, attestations)</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r>
        <w:tc>
          <w:tcPr>
            <w:tcW w:type="dxa" w:w="3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Spam/phishing protection</w:t>
            </w:r>
          </w:p>
        </w:tc>
        <w:tc>
          <w:tcPr>
            <w:tcW w:type="dxa" w:w="43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Corporate mail filtering; phishing-resistant MFA</w:t>
            </w:r>
          </w:p>
        </w:tc>
        <w:tc>
          <w:tcPr>
            <w:tcW w:type="dxa" w:w="17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47857"/>
                <w:sz w:val="19"/>
                <w:szCs w:val="19"/>
              </w:rPr>
              <w:t xml:space="preserve">Implemented</w:t>
            </w:r>
          </w:p>
        </w:tc>
      </w:tr>
    </w:tbl>
    <w:p>
      <w:pPr>
        <w:spacing w:after="80" w:line="264"/>
        <w:jc w:val="both"/>
      </w:pPr>
    </w:p>
    <w:p>
      <w:pPr>
        <w:pStyle w:val="Heading1"/>
        <w:keepNext/>
        <w:pBdr>
          <w:bottom w:val="single" w:color="0D9488" w:sz="6" w:space="2"/>
        </w:pBdr>
        <w:spacing w:after="180" w:before="340"/>
      </w:pPr>
      <w:r>
        <w:rPr>
          <w:rFonts w:ascii="Arial" w:cs="Arial" w:eastAsia="Arial" w:hAnsi="Arial"/>
          <w:b/>
          <w:bCs/>
          <w:color w:val="0F172A"/>
          <w:sz w:val="24"/>
          <w:szCs w:val="24"/>
        </w:rPr>
        <w:t xml:space="preserve">3. EXECUTION PLAN</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Phase 1 — Foundation (now – Q4 2026).</w:t>
      </w:r>
      <w:r>
        <w:rPr>
          <w:rFonts w:ascii="Times New Roman" w:cs="Times New Roman" w:eastAsia="Times New Roman" w:hAnsi="Times New Roman"/>
          <w:color w:val="0F172A"/>
          <w:sz w:val="22"/>
          <w:szCs w:val="22"/>
        </w:rPr>
        <w:t xml:space="preserve"> Close R-1 through R-5 (RDY-001, § 5); accrue ninety (90) days of operating evidence; complete SOC 2 Type I.</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Phase 2 — Self-assessment (Q1 2027).</w:t>
      </w:r>
      <w:r>
        <w:rPr>
          <w:rFonts w:ascii="Times New Roman" w:cs="Times New Roman" w:eastAsia="Times New Roman" w:hAnsi="Times New Roman"/>
          <w:color w:val="0F172A"/>
          <w:sz w:val="22"/>
          <w:szCs w:val="22"/>
        </w:rPr>
        <w:t xml:space="preserve"> License MyCSF; complete the e1 readiness assessment in-platform; remediate scoring shortfalls below required maturity (PRISMA “implemented” level across all 44 statements).</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Phase 3 — Validated assessment (H1 2027).</w:t>
      </w:r>
      <w:r>
        <w:rPr>
          <w:rFonts w:ascii="Times New Roman" w:cs="Times New Roman" w:eastAsia="Times New Roman" w:hAnsi="Times New Roman"/>
          <w:color w:val="0F172A"/>
          <w:sz w:val="22"/>
          <w:szCs w:val="22"/>
        </w:rPr>
        <w:t xml:space="preserve"> Engage an authorized HITRUST External Assessor; complete validated testing; submit through MyCSF for HITRUST quality assurance and certification issuance.</w:t>
      </w:r>
    </w:p>
    <w:p>
      <w:pPr>
        <w:pStyle w:val="ListParagraph"/>
        <w:numPr>
          <w:ilvl w:val="0"/>
          <w:numId w:val="2"/>
        </w:numPr>
        <w:spacing w:after="100" w:line="264"/>
        <w:jc w:val="both"/>
      </w:pPr>
      <w:r>
        <w:rPr>
          <w:rFonts w:ascii="Times New Roman" w:cs="Times New Roman" w:eastAsia="Times New Roman" w:hAnsi="Times New Roman"/>
          <w:b/>
          <w:bCs/>
          <w:color w:val="0F172A"/>
          <w:sz w:val="22"/>
          <w:szCs w:val="22"/>
        </w:rPr>
        <w:t xml:space="preserve">Phase 4 — Maintenance (annually).</w:t>
      </w:r>
      <w:r>
        <w:rPr>
          <w:rFonts w:ascii="Times New Roman" w:cs="Times New Roman" w:eastAsia="Times New Roman" w:hAnsi="Times New Roman"/>
          <w:color w:val="0F172A"/>
          <w:sz w:val="22"/>
          <w:szCs w:val="22"/>
        </w:rPr>
        <w:t xml:space="preserve"> Renew e1 each year; evaluate progression to i1 once headcount and customer requirements justify the expanded control set.</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BUDGETARY PLANNING (NON-BINDING)</w:t>
      </w:r>
    </w:p>
    <w:p>
      <w:pPr>
        <w:spacing w:after="160" w:line="264"/>
        <w:jc w:val="both"/>
      </w:pPr>
      <w:r>
        <w:rPr>
          <w:rFonts w:ascii="Times New Roman" w:cs="Times New Roman" w:eastAsia="Times New Roman" w:hAnsi="Times New Roman"/>
          <w:color w:val="0F172A"/>
          <w:sz w:val="22"/>
          <w:szCs w:val="22"/>
        </w:rPr>
        <w:t xml:space="preserve">Management plans against industry-reported ranges for a small-scope e1: MyCSF subscription and assessment fees plus external-assessor fees, commonly totaling on the order of the low-to-mid five figures for a company of ARKA’s footprint, with internal effort substantially reduced by reuse of SOC 2 evidence. Figures are planning estimates, not quotations, and shall be refreshed upon assessor selection.</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ARKA-RDY-003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ARKA-RDY-003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HITRUST e1 Readiness Roadmap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HITRUST e1 Readiness Roadmap</dc:title>
  <dc:creator>ARKA Health, Inc.</dc:creator>
  <dc:description>Path to HITRUST Essentials, 1-Year (e1) Validated Assessment under HITRUST CSF v11</dc:description>
  <cp:lastModifiedBy>Un-named</cp:lastModifiedBy>
  <cp:revision>1</cp:revision>
  <dcterms:created xsi:type="dcterms:W3CDTF">2026-06-11T01:35:15.077Z</dcterms:created>
  <dcterms:modified xsi:type="dcterms:W3CDTF">2026-06-11T01:35:15.077Z</dcterms:modified>
</cp:coreProperties>
</file>

<file path=docProps/custom.xml><?xml version="1.0" encoding="utf-8"?>
<Properties xmlns="http://schemas.openxmlformats.org/officeDocument/2006/custom-properties" xmlns:vt="http://schemas.openxmlformats.org/officeDocument/2006/docPropsVTypes"/>
</file>