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COMPLIANCE ROADMAP &amp; CERTIFICATION TIMELINE</w:t>
      </w:r>
    </w:p>
    <w:p>
      <w:pPr>
        <w:spacing w:after="60"/>
        <w:jc w:val="center"/>
      </w:pPr>
      <w:r>
        <w:rPr>
          <w:rFonts w:ascii="Arial" w:cs="Arial" w:eastAsia="Arial" w:hAnsi="Arial"/>
          <w:i/>
          <w:iCs/>
          <w:color w:val="475569"/>
          <w:sz w:val="21"/>
          <w:szCs w:val="21"/>
        </w:rPr>
        <w:t xml:space="preserve">Program status, external-claims standard, and certification milestones — suitable for investor and customer diligence</w:t>
      </w:r>
    </w:p>
    <w:p>
      <w:pPr>
        <w:spacing w:after="320"/>
        <w:jc w:val="center"/>
      </w:pPr>
      <w:r>
        <w:rPr>
          <w:rFonts w:ascii="Arial" w:cs="Arial" w:eastAsia="Arial" w:hAnsi="Arial"/>
          <w:b/>
          <w:bCs/>
          <w:color w:val="0D9488"/>
          <w:spacing w:val="20"/>
          <w:sz w:val="17"/>
          <w:szCs w:val="17"/>
        </w:rPr>
        <w:t xml:space="preserve">ARKA-RDY-004  ·  Version 1.0  ·  Confidential — May be shared under 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ARKA-RDY-004</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May be shared under NDA</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WHERE ARKA STANDS TODAY</w:t>
      </w:r>
    </w:p>
    <w:p>
      <w:pPr>
        <w:spacing w:after="160" w:line="264"/>
        <w:jc w:val="both"/>
      </w:pPr>
      <w:r>
        <w:rPr>
          <w:rFonts w:ascii="Times New Roman" w:cs="Times New Roman" w:eastAsia="Times New Roman" w:hAnsi="Times New Roman"/>
          <w:color w:val="0F172A"/>
          <w:sz w:val="22"/>
          <w:szCs w:val="22"/>
        </w:rPr>
        <w:t xml:space="preserve">ARKA Health, Inc. is a pre-commercial clinical-software company. As of June 2026: (a) the complete HIPAA privacy and security policy suite (ARKA-GOV/PRIV/SEC series) has been adopted and is in force; (b) the public demonstration environment processes </w:t>
      </w:r>
      <w:r>
        <w:rPr>
          <w:rFonts w:ascii="Times New Roman" w:cs="Times New Roman" w:eastAsia="Times New Roman" w:hAnsi="Times New Roman"/>
          <w:b/>
          <w:bCs/>
          <w:color w:val="0F172A"/>
          <w:sz w:val="22"/>
          <w:szCs w:val="22"/>
        </w:rPr>
        <w:t xml:space="preserve">synthetic data only — no PHI</w:t>
      </w:r>
      <w:r>
        <w:rPr>
          <w:rFonts w:ascii="Times New Roman" w:cs="Times New Roman" w:eastAsia="Times New Roman" w:hAnsi="Times New Roman"/>
          <w:color w:val="0F172A"/>
          <w:sz w:val="22"/>
          <w:szCs w:val="22"/>
        </w:rPr>
        <w:t xml:space="preserve"> (ARKA-DEMO-001); (c) the initial enterprise risk analysis is complete (ARKA-RDY-001) with remediation underway; (d) a BAA template (ARKA-LGL-001) is ready for counsel-reviewed execution with the first design partners; and (e) SOC 2 and HITRUST e1 readiness programs are active (ARKA-RDY-002/003). HIPAA has no government certification; compliance is demonstrated through exactly this documentation, its implementation, and its evidence trail.</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tblHeader/>
        </w:trP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Window</w:t>
            </w:r>
          </w:p>
        </w:tc>
        <w:tc>
          <w:tcPr>
            <w:tcW w:type="dxa" w:w="5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Milestone</w:t>
            </w:r>
          </w:p>
        </w:tc>
        <w:tc>
          <w:tcPr>
            <w:tcW w:type="dxa" w:w="2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Owner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Q3 2026</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Close R-1/R-2/R-3/R-5 remediations; bind cyber-liability insurance; execute audit-firm engagement letter; begin evidence accrual (access reviews, restore tests, monitoring reviews)</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Q4 2026</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First independent penetration test; SOC 2 </w:t>
            </w:r>
            <w:r>
              <w:rPr>
                <w:rFonts w:ascii="Times New Roman" w:cs="Times New Roman" w:eastAsia="Times New Roman" w:hAnsi="Times New Roman"/>
                <w:b/>
                <w:bCs/>
                <w:color w:val="0F172A"/>
                <w:sz w:val="19"/>
                <w:szCs w:val="19"/>
              </w:rPr>
              <w:t xml:space="preserve">Type I</w:t>
            </w:r>
            <w:r>
              <w:rPr>
                <w:rFonts w:ascii="Times New Roman" w:cs="Times New Roman" w:eastAsia="Times New Roman" w:hAnsi="Times New Roman"/>
                <w:b w:val="false"/>
                <w:bCs w:val="false"/>
                <w:color w:val="0F172A"/>
                <w:sz w:val="19"/>
                <w:szCs w:val="19"/>
              </w:rPr>
              <w:t xml:space="preserve"> examination (Security, Availability, Confidentiality) as of December 2026</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 / Auditor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Q4 2026 – Q2 2027</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w:t>
            </w:r>
            <w:r>
              <w:rPr>
                <w:rFonts w:ascii="Times New Roman" w:cs="Times New Roman" w:eastAsia="Times New Roman" w:hAnsi="Times New Roman"/>
                <w:b/>
                <w:bCs/>
                <w:color w:val="0F172A"/>
                <w:sz w:val="19"/>
                <w:szCs w:val="19"/>
              </w:rPr>
              <w:t xml:space="preserve">Type II</w:t>
            </w:r>
            <w:r>
              <w:rPr>
                <w:rFonts w:ascii="Times New Roman" w:cs="Times New Roman" w:eastAsia="Times New Roman" w:hAnsi="Times New Roman"/>
                <w:b w:val="false"/>
                <w:bCs w:val="false"/>
                <w:color w:val="0F172A"/>
                <w:sz w:val="19"/>
                <w:szCs w:val="19"/>
              </w:rPr>
              <w:t xml:space="preserve"> observation period (≥ 3 months); first design-partner BAAs executed; production environment with PHI subject to full control set from day one</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CEO / Security Officer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Q1 2027</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HITRUST MyCSF e1 self-assessment complete; external assessor engaged</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H1 2027</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w:t>
            </w:r>
            <w:r>
              <w:rPr>
                <w:rFonts w:ascii="Times New Roman" w:cs="Times New Roman" w:eastAsia="Times New Roman" w:hAnsi="Times New Roman"/>
                <w:b/>
                <w:bCs/>
                <w:color w:val="0F172A"/>
                <w:sz w:val="19"/>
                <w:szCs w:val="19"/>
              </w:rPr>
              <w:t xml:space="preserve">Type II report issued</w:t>
            </w:r>
            <w:r>
              <w:rPr>
                <w:rFonts w:ascii="Times New Roman" w:cs="Times New Roman" w:eastAsia="Times New Roman" w:hAnsi="Times New Roman"/>
                <w:b w:val="false"/>
                <w:bCs w:val="false"/>
                <w:color w:val="0F172A"/>
                <w:sz w:val="19"/>
                <w:szCs w:val="19"/>
              </w:rPr>
              <w:t xml:space="preserve">; HITRUST </w:t>
            </w:r>
            <w:r>
              <w:rPr>
                <w:rFonts w:ascii="Times New Roman" w:cs="Times New Roman" w:eastAsia="Times New Roman" w:hAnsi="Times New Roman"/>
                <w:b/>
                <w:bCs/>
                <w:color w:val="0F172A"/>
                <w:sz w:val="19"/>
                <w:szCs w:val="19"/>
              </w:rPr>
              <w:t xml:space="preserve">e1 validated assessment</w:t>
            </w:r>
            <w:r>
              <w:rPr>
                <w:rFonts w:ascii="Times New Roman" w:cs="Times New Roman" w:eastAsia="Times New Roman" w:hAnsi="Times New Roman"/>
                <w:b w:val="false"/>
                <w:bCs w:val="false"/>
                <w:color w:val="0F172A"/>
                <w:sz w:val="19"/>
                <w:szCs w:val="19"/>
              </w:rPr>
              <w:t xml:space="preserve"> submitted for certification</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Auditor / Assessor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Annually thereafter</w:t>
            </w:r>
          </w:p>
        </w:tc>
        <w:tc>
          <w:tcPr>
            <w:tcW w:type="dxa" w:w="5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Type II re-examination; e1 renewal; risk analysis refresh; policy review cycle</w:t>
            </w:r>
          </w:p>
        </w:tc>
        <w:tc>
          <w:tcPr>
            <w:tcW w:type="dxa" w:w="2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3. ALIGNMENT WITH THE 2025 SECURITY RULE RULEMAKING</w:t>
      </w:r>
    </w:p>
    <w:p>
      <w:pPr>
        <w:spacing w:after="160" w:line="264"/>
        <w:jc w:val="both"/>
      </w:pPr>
      <w:r>
        <w:rPr>
          <w:rFonts w:ascii="Times New Roman" w:cs="Times New Roman" w:eastAsia="Times New Roman" w:hAnsi="Times New Roman"/>
          <w:color w:val="0F172A"/>
          <w:sz w:val="22"/>
          <w:szCs w:val="22"/>
        </w:rPr>
        <w:t xml:space="preserve">ARKA has adopted the principal heightened specifications of the December 2024 OCR proposal as its internal baseline now — mandatory MFA, universal encryption, asset inventory and network mapping, six-month vulnerability scanning, annual penetration testing, segmentation, and seventy-two-hour restoration capability (ARKA-SEC-001, § 5; ARKA-SEC-007). The Company therefore expects no material gap upon finalization of the rule, and tracks the rulemaking docket at each quarterly Committee review.</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EXTERNAL CLAIMS STANDARD</w:t>
      </w:r>
    </w:p>
    <w:p>
      <w:pPr>
        <w:spacing w:after="160" w:line="264"/>
        <w:jc w:val="both"/>
      </w:pPr>
      <w:r>
        <w:rPr>
          <w:rFonts w:ascii="Times New Roman" w:cs="Times New Roman" w:eastAsia="Times New Roman" w:hAnsi="Times New Roman"/>
          <w:color w:val="0F172A"/>
          <w:sz w:val="22"/>
          <w:szCs w:val="22"/>
        </w:rPr>
        <w:t xml:space="preserve">To preserve credibility in hospital security review and investor diligence, all ARKA personnel and materials shall observe the following claims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Permitted statements (current)</w:t>
            </w:r>
          </w:p>
        </w:tc>
        <w:tc>
          <w:tcPr>
            <w:tcW w:type="dxa" w:w="468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Prohibited until the referenced artifact exists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 maintains a HIPAA compliance program aligned to the Privacy, Security, and Breach Notification Rules, with adopted policies and an annual third-party-validated roadmap.”</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 is HIPAA certified.” (No such certification exists; the phrase signals unsophistication to diligence teams.)</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Type I/Type II in progress; report available under NDA upon issuance.”</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compliant / SOC 2 certified.” (Prohibited until the auditor’s report is issued; then say “SOC 2 Type [I/II] examined, report available under NDA.”)</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“HITRUST e1 readiness underway; certification targeted H1 2027.”</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“HITRUST certified” or use of the HITRUST seal. (Prohibited until issuance of the validated assessment.)</w:t>
            </w:r>
          </w:p>
        </w:tc>
      </w:tr>
      <w:tr>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“Demo environment contains synthetic data only — no PHI.”</w:t>
            </w:r>
          </w:p>
        </w:tc>
        <w:tc>
          <w:tcPr>
            <w:tcW w:type="dxa" w:w="468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Any use of real patient data, however de-identified, to imply live clinical deployment.</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5. STANDING DILIGENCE PACKAGE</w:t>
      </w:r>
    </w:p>
    <w:p>
      <w:pPr>
        <w:spacing w:after="160" w:line="264"/>
        <w:jc w:val="both"/>
      </w:pPr>
      <w:r>
        <w:rPr>
          <w:rFonts w:ascii="Times New Roman" w:cs="Times New Roman" w:eastAsia="Times New Roman" w:hAnsi="Times New Roman"/>
          <w:color w:val="0F172A"/>
          <w:sz w:val="22"/>
          <w:szCs w:val="22"/>
        </w:rPr>
        <w:t xml:space="preserve">Upon execution of a non-disclosure agreement, ARKA makes available: this roadmap; the policy index and any requested policies; ARKA-RDY-001 (risk assessment); the BAA template; the Data Security Overview one-pager; and, when issued, auditor and assessor reports. Requests: security@getarka.health.</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ARKA-RDY-004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ARKA-RDY-004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Compliance Roadmap &amp; Certification Timeline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Roadmap &amp; Certification Timeline</dc:title>
  <dc:creator>ARKA Health, Inc.</dc:creator>
  <dc:description>Program status, external-claims standard, and certification milestones — suitable for investor and customer diligence</dc:description>
  <cp:lastModifiedBy>Un-named</cp:lastModifiedBy>
  <cp:revision>1</cp:revision>
  <dcterms:created xsi:type="dcterms:W3CDTF">2026-06-11T01:35:15.110Z</dcterms:created>
  <dcterms:modified xsi:type="dcterms:W3CDTF">2026-06-11T01:35:15.110Z</dcterms:modified>
</cp:coreProperties>
</file>

<file path=docProps/custom.xml><?xml version="1.0" encoding="utf-8"?>
<Properties xmlns="http://schemas.openxmlformats.org/officeDocument/2006/custom-properties" xmlns:vt="http://schemas.openxmlformats.org/officeDocument/2006/docPropsVTypes"/>
</file>