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1428750" cy="1609725"/>
            <wp:effectExtent t="0" r="0" b="0" l="0"/>
            <wp:docPr id="1" name="arka-logo" descr="ARKA Health emblem" title="ARK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609725"/>
                    </a:xfrm>
                    <a:prstGeom prst="rect">
                      <a:avLst/>
                    </a:prstGeom>
                  </pic:spPr>
                </pic:pic>
              </a:graphicData>
            </a:graphic>
          </wp:inline>
        </w:drawing>
      </w:r>
    </w:p>
    <w:p>
      <w:pPr>
        <w:spacing w:after="40" w:before="160"/>
        <w:jc w:val="center"/>
      </w:pPr>
      <w:r>
        <w:rPr>
          <w:rFonts w:ascii="Arial" w:cs="Arial" w:eastAsia="Arial" w:hAnsi="Arial"/>
          <w:b/>
          <w:bCs/>
          <w:color w:val="334155"/>
          <w:spacing w:val="40"/>
          <w:sz w:val="22"/>
          <w:szCs w:val="22"/>
        </w:rPr>
        <w:t xml:space="preserve">ARKA HEALTH, INC.</w:t>
      </w:r>
    </w:p>
    <w:p>
      <w:pPr>
        <w:spacing w:after="80" w:before="200"/>
        <w:jc w:val="center"/>
      </w:pPr>
      <w:r>
        <w:rPr>
          <w:rFonts w:ascii="Arial" w:cs="Arial" w:eastAsia="Arial" w:hAnsi="Arial"/>
          <w:b/>
          <w:bCs/>
          <w:color w:val="0F172A"/>
          <w:sz w:val="40"/>
          <w:szCs w:val="40"/>
        </w:rPr>
        <w:t xml:space="preserve">DEMONSTRATION ENVIRONMENT SYNTHETIC DATA POLICY &amp; NO-PHI ATTESTATION</w:t>
      </w:r>
    </w:p>
    <w:p>
      <w:pPr>
        <w:spacing w:after="60"/>
        <w:jc w:val="center"/>
      </w:pPr>
      <w:r>
        <w:rPr>
          <w:rFonts w:ascii="Arial" w:cs="Arial" w:eastAsia="Arial" w:hAnsi="Arial"/>
          <w:i/>
          <w:iCs/>
          <w:color w:val="475569"/>
          <w:sz w:val="21"/>
          <w:szCs w:val="21"/>
        </w:rPr>
        <w:t xml:space="preserve">Controls ensuring the ARKA demonstration environment contains no Protected Health Information</w:t>
      </w:r>
    </w:p>
    <w:p>
      <w:pPr>
        <w:spacing w:after="320"/>
        <w:jc w:val="center"/>
      </w:pPr>
      <w:r>
        <w:rPr>
          <w:rFonts w:ascii="Arial" w:cs="Arial" w:eastAsia="Arial" w:hAnsi="Arial"/>
          <w:b/>
          <w:bCs/>
          <w:color w:val="0D9488"/>
          <w:spacing w:val="20"/>
          <w:sz w:val="17"/>
          <w:szCs w:val="17"/>
        </w:rPr>
        <w:t xml:space="preserve">ARKA-DEMO-001  ·  Version 1.0  ·  Confidential —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No.</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ARKA-DEMO-001</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Version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Effective Date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Last Reviewed</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Owner</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 — Privacy &amp; Security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Approved By</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Classification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Confidential — Internal</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Review Cycle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Annual, and upon any material change in operations, systems, or law</w:t>
            </w:r>
          </w:p>
        </w:tc>
      </w:tr>
    </w:tbl>
    <w:p>
      <w:pPr>
        <w:spacing w:after="0" w:before="420"/>
        <w:jc w:val="both"/>
      </w:pPr>
      <w:r>
        <w:rPr>
          <w:rFonts w:ascii="Times New Roman" w:cs="Times New Roman" w:eastAsia="Times New Roman" w:hAnsi="Times New Roman"/>
          <w:i/>
          <w:iCs/>
          <w:color w:val="475569"/>
          <w:sz w:val="17"/>
          <w:szCs w:val="17"/>
        </w:rPr>
        <w:t xml:space="preserve">This document contains confidential and proprietary information of ARKA Health, Inc. (“ARKA”). It is furnished for informational and compliance purposes, may not be reproduced or disclosed to any third party without the prior written consent of ARKA, and must be returned or destroyed upon request. Nothing in this document constitutes legal advice.</w:t>
      </w:r>
    </w:p>
    <w:p>
      <w:r>
        <w:br w:type="page"/>
      </w:r>
    </w:p>
    <w:p>
      <w:pPr>
        <w:pStyle w:val="Heading1"/>
        <w:keepNext/>
        <w:pBdr>
          <w:bottom w:val="single" w:color="0D9488" w:sz="6" w:space="2"/>
        </w:pBdr>
        <w:spacing w:after="180" w:before="340"/>
      </w:pPr>
      <w:r>
        <w:rPr>
          <w:rFonts w:ascii="Arial" w:cs="Arial" w:eastAsia="Arial" w:hAnsi="Arial"/>
          <w:b/>
          <w:bCs/>
          <w:color w:val="0F172A"/>
          <w:sz w:val="24"/>
          <w:szCs w:val="24"/>
        </w:rPr>
        <w:t xml:space="preserve">1. POLICY STATEMENT</w:t>
      </w:r>
    </w:p>
    <w:p>
      <w:pPr>
        <w:spacing w:after="160" w:line="264"/>
        <w:jc w:val="both"/>
      </w:pPr>
      <w:r>
        <w:rPr>
          <w:rFonts w:ascii="Times New Roman" w:cs="Times New Roman" w:eastAsia="Times New Roman" w:hAnsi="Times New Roman"/>
          <w:color w:val="0F172A"/>
          <w:sz w:val="22"/>
          <w:szCs w:val="22"/>
        </w:rPr>
        <w:t xml:space="preserve">The publicly accessible ARKA demonstration environment — comprising the website at getarka.health and the interactive demonstrations of the ARKA-CLIN, ARKA-ED, ARKA-INS, ARKA-RURAL, EHR-embedded, and CDS Hooks modules (collectively, the “</w:t>
      </w:r>
      <w:r>
        <w:rPr>
          <w:rFonts w:ascii="Times New Roman" w:cs="Times New Roman" w:eastAsia="Times New Roman" w:hAnsi="Times New Roman"/>
          <w:b/>
          <w:bCs/>
          <w:color w:val="0F172A"/>
          <w:sz w:val="22"/>
          <w:szCs w:val="22"/>
        </w:rPr>
        <w:t xml:space="preserve">Demo Environment</w:t>
      </w:r>
      <w:r>
        <w:rPr>
          <w:rFonts w:ascii="Times New Roman" w:cs="Times New Roman" w:eastAsia="Times New Roman" w:hAnsi="Times New Roman"/>
          <w:color w:val="0F172A"/>
          <w:sz w:val="22"/>
          <w:szCs w:val="22"/>
        </w:rPr>
        <w:t xml:space="preserve">”) — shall contain </w:t>
      </w:r>
      <w:r>
        <w:rPr>
          <w:rFonts w:ascii="Times New Roman" w:cs="Times New Roman" w:eastAsia="Times New Roman" w:hAnsi="Times New Roman"/>
          <w:b/>
          <w:bCs/>
          <w:color w:val="0F172A"/>
          <w:sz w:val="22"/>
          <w:szCs w:val="22"/>
        </w:rPr>
        <w:t xml:space="preserve">no Protected Health Information and no real patient data of any kind, whether or not de-identified</w:t>
      </w:r>
      <w:r>
        <w:rPr>
          <w:rFonts w:ascii="Times New Roman" w:cs="Times New Roman" w:eastAsia="Times New Roman" w:hAnsi="Times New Roman"/>
          <w:color w:val="0F172A"/>
          <w:sz w:val="22"/>
          <w:szCs w:val="22"/>
        </w:rPr>
        <w:t xml:space="preserve">. Every patient, clinician, encounter, claim, image reference, and clinical scenario in the Demo Environment is synthetic: generated by ARKA’s synthetic-data tooling or authored as fiction for illustration.</w:t>
      </w:r>
    </w:p>
    <w:p>
      <w:pPr>
        <w:pStyle w:val="Heading1"/>
        <w:keepNext/>
        <w:pBdr>
          <w:bottom w:val="single" w:color="0D9488" w:sz="6" w:space="2"/>
        </w:pBdr>
        <w:spacing w:after="180" w:before="340"/>
      </w:pPr>
      <w:r>
        <w:rPr>
          <w:rFonts w:ascii="Arial" w:cs="Arial" w:eastAsia="Arial" w:hAnsi="Arial"/>
          <w:b/>
          <w:bCs/>
          <w:color w:val="0F172A"/>
          <w:sz w:val="24"/>
          <w:szCs w:val="24"/>
        </w:rPr>
        <w:t xml:space="preserve">2. PREVENTIVE CONTROLS</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Provenance.</w:t>
      </w:r>
      <w:r>
        <w:rPr>
          <w:rFonts w:ascii="Times New Roman" w:cs="Times New Roman" w:eastAsia="Times New Roman" w:hAnsi="Times New Roman"/>
          <w:color w:val="0F172A"/>
          <w:sz w:val="22"/>
          <w:szCs w:val="22"/>
        </w:rPr>
        <w:t xml:space="preserve"> Demonstration records are produced by the platform’s synthetic-data generator (</w:t>
      </w:r>
      <w:r>
        <w:rPr>
          <w:rFonts w:ascii="Courier New" w:cs="Courier New" w:eastAsia="Courier New" w:hAnsi="Courier New"/>
          <w:color w:val="0F172A"/>
          <w:sz w:val="20"/>
          <w:szCs w:val="20"/>
        </w:rPr>
        <w:t xml:space="preserve">lib/cds-platform/validation/synthetic-data-generator.ts</w:t>
      </w:r>
      <w:r>
        <w:rPr>
          <w:rFonts w:ascii="Times New Roman" w:cs="Times New Roman" w:eastAsia="Times New Roman" w:hAnsi="Times New Roman"/>
          <w:color w:val="0F172A"/>
          <w:sz w:val="22"/>
          <w:szCs w:val="22"/>
        </w:rPr>
        <w:t xml:space="preserve">) or seeded by scripts that mark every record with the literal prefix “[ARKA-DEMO]”, making demo data programmatically identifiable and bulk-removable (</w:t>
      </w:r>
      <w:r>
        <w:rPr>
          <w:rFonts w:ascii="Courier New" w:cs="Courier New" w:eastAsia="Courier New" w:hAnsi="Courier New"/>
          <w:color w:val="0F172A"/>
          <w:sz w:val="20"/>
          <w:szCs w:val="20"/>
        </w:rPr>
        <w:t xml:space="preserve">scripts/seed-ins-demo-data.ts</w:t>
      </w:r>
      <w:r>
        <w:rPr>
          <w:rFonts w:ascii="Times New Roman" w:cs="Times New Roman" w:eastAsia="Times New Roman" w:hAnsi="Times New Roman"/>
          <w:color w:val="0F172A"/>
          <w:sz w:val="22"/>
          <w:szCs w:val="22"/>
        </w:rPr>
        <w:t xml:space="preserve">; </w:t>
      </w:r>
      <w:r>
        <w:rPr>
          <w:rFonts w:ascii="Courier New" w:cs="Courier New" w:eastAsia="Courier New" w:hAnsi="Courier New"/>
          <w:color w:val="0F172A"/>
          <w:sz w:val="20"/>
          <w:szCs w:val="20"/>
        </w:rPr>
        <w:t xml:space="preserve">scripts/reset-ins-demo.ts</w:t>
      </w:r>
      <w:r>
        <w:rPr>
          <w:rFonts w:ascii="Times New Roman" w:cs="Times New Roman" w:eastAsia="Times New Roman" w:hAnsi="Times New Roman"/>
          <w:color w:val="0F172A"/>
          <w:sz w:val="22"/>
          <w:szCs w:val="22"/>
        </w:rPr>
        <w:t xml:space="preserve">).</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No ingestion path.</w:t>
      </w:r>
      <w:r>
        <w:rPr>
          <w:rFonts w:ascii="Times New Roman" w:cs="Times New Roman" w:eastAsia="Times New Roman" w:hAnsi="Times New Roman"/>
          <w:color w:val="0F172A"/>
          <w:sz w:val="22"/>
          <w:szCs w:val="22"/>
        </w:rPr>
        <w:t xml:space="preserve"> The Demo Environment exposes no interface for uploading clinical documents, connecting an EHR with production credentials, or bulk-importing records; EHR demonstration flows run against sandbox FHIR servers with vendor-published test patients only.</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User notices.</w:t>
      </w:r>
      <w:r>
        <w:rPr>
          <w:rFonts w:ascii="Times New Roman" w:cs="Times New Roman" w:eastAsia="Times New Roman" w:hAnsi="Times New Roman"/>
          <w:color w:val="0F172A"/>
          <w:sz w:val="22"/>
          <w:szCs w:val="22"/>
        </w:rPr>
        <w:t xml:space="preserve"> Conspicuous notices in the user interface and in the website Privacy Policy (Section 3, “No PHI in the public Site or demos”) instruct users not to submit PHI into any input field; free-text fields are minimized and length-limited.</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Separation.</w:t>
      </w:r>
      <w:r>
        <w:rPr>
          <w:rFonts w:ascii="Times New Roman" w:cs="Times New Roman" w:eastAsia="Times New Roman" w:hAnsi="Times New Roman"/>
          <w:color w:val="0F172A"/>
          <w:sz w:val="22"/>
          <w:szCs w:val="22"/>
        </w:rPr>
        <w:t xml:space="preserve"> The Demo Environment shares no database, credentials, or tenancy with any future production deployment; production PHI shall never be copied into the Demo Environment (ARKA-SEC-010, § 2(d)).</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Naming discipline.</w:t>
      </w:r>
      <w:r>
        <w:rPr>
          <w:rFonts w:ascii="Times New Roman" w:cs="Times New Roman" w:eastAsia="Times New Roman" w:hAnsi="Times New Roman"/>
          <w:color w:val="0F172A"/>
          <w:sz w:val="22"/>
          <w:szCs w:val="22"/>
        </w:rPr>
        <w:t xml:space="preserve"> Synthetic personas use implausible or clearly fictional identifiers, demo MRNs use a reserved non-conformant pattern, and CI lint rules guard demonstration fixtures from importing production data sources.</w:t>
      </w:r>
    </w:p>
    <w:p>
      <w:pPr>
        <w:pStyle w:val="Heading1"/>
        <w:keepNext/>
        <w:pBdr>
          <w:bottom w:val="single" w:color="0D9488" w:sz="6" w:space="2"/>
        </w:pBdr>
        <w:spacing w:after="180" w:before="340"/>
      </w:pPr>
      <w:r>
        <w:rPr>
          <w:rFonts w:ascii="Arial" w:cs="Arial" w:eastAsia="Arial" w:hAnsi="Arial"/>
          <w:b/>
          <w:bCs/>
          <w:color w:val="0F172A"/>
          <w:sz w:val="24"/>
          <w:szCs w:val="24"/>
        </w:rPr>
        <w:t xml:space="preserve">3. DETECTIVE AND CORRECTIVE CONTROLS</w:t>
      </w:r>
    </w:p>
    <w:p>
      <w:pPr>
        <w:pStyle w:val="ListParagraph"/>
        <w:numPr>
          <w:ilvl w:val="0"/>
          <w:numId w:val="3"/>
        </w:numPr>
        <w:spacing w:after="100" w:line="264"/>
        <w:jc w:val="both"/>
      </w:pPr>
      <w:r>
        <w:rPr>
          <w:rFonts w:ascii="Times New Roman" w:cs="Times New Roman" w:eastAsia="Times New Roman" w:hAnsi="Times New Roman"/>
          <w:b/>
          <w:bCs/>
          <w:color w:val="0F172A"/>
          <w:sz w:val="22"/>
          <w:szCs w:val="22"/>
        </w:rPr>
        <w:t xml:space="preserve">Quarterly sweep.</w:t>
      </w:r>
      <w:r>
        <w:rPr>
          <w:rFonts w:ascii="Times New Roman" w:cs="Times New Roman" w:eastAsia="Times New Roman" w:hAnsi="Times New Roman"/>
          <w:color w:val="0F172A"/>
          <w:sz w:val="22"/>
          <w:szCs w:val="22"/>
        </w:rPr>
        <w:t xml:space="preserve"> The Security Officer shall execute and document a quarterly scan of demo data stores and repository fixtures for PHI-indicative patterns (SSN formats, plausible MRN/DOB clusters, free-text narratives), recording the query set and results.</w:t>
      </w:r>
    </w:p>
    <w:p>
      <w:pPr>
        <w:pStyle w:val="ListParagraph"/>
        <w:numPr>
          <w:ilvl w:val="0"/>
          <w:numId w:val="3"/>
        </w:numPr>
        <w:spacing w:after="100" w:line="264"/>
        <w:jc w:val="both"/>
      </w:pPr>
      <w:r>
        <w:rPr>
          <w:rFonts w:ascii="Times New Roman" w:cs="Times New Roman" w:eastAsia="Times New Roman" w:hAnsi="Times New Roman"/>
          <w:b/>
          <w:bCs/>
          <w:color w:val="0F172A"/>
          <w:sz w:val="22"/>
          <w:szCs w:val="22"/>
        </w:rPr>
        <w:t xml:space="preserve">Inadvertent submission procedure.</w:t>
      </w:r>
      <w:r>
        <w:rPr>
          <w:rFonts w:ascii="Times New Roman" w:cs="Times New Roman" w:eastAsia="Times New Roman" w:hAnsi="Times New Roman"/>
          <w:color w:val="0F172A"/>
          <w:sz w:val="22"/>
          <w:szCs w:val="22"/>
        </w:rPr>
        <w:t xml:space="preserve"> PHI submitted by a user in violation of posted terms shall be treated as a Security Incident (ARKA-SEC-006): the record is purged from primary stores and logs within twenty-four (24) hours of discovery, purged from backups on their rolling expiry, and the event documented; no use of such data is permitted for any purpose.</w:t>
      </w:r>
    </w:p>
    <w:p>
      <w:pPr>
        <w:pStyle w:val="ListParagraph"/>
        <w:numPr>
          <w:ilvl w:val="0"/>
          <w:numId w:val="3"/>
        </w:numPr>
        <w:spacing w:after="100" w:line="264"/>
        <w:jc w:val="both"/>
      </w:pPr>
      <w:r>
        <w:rPr>
          <w:rFonts w:ascii="Times New Roman" w:cs="Times New Roman" w:eastAsia="Times New Roman" w:hAnsi="Times New Roman"/>
          <w:b/>
          <w:bCs/>
          <w:color w:val="0F172A"/>
          <w:sz w:val="22"/>
          <w:szCs w:val="22"/>
        </w:rPr>
        <w:t xml:space="preserve">Review gate for new demos.</w:t>
      </w:r>
      <w:r>
        <w:rPr>
          <w:rFonts w:ascii="Times New Roman" w:cs="Times New Roman" w:eastAsia="Times New Roman" w:hAnsi="Times New Roman"/>
          <w:color w:val="0F172A"/>
          <w:sz w:val="22"/>
          <w:szCs w:val="22"/>
        </w:rPr>
        <w:t xml:space="preserve"> Each new demonstration scenario requires the Privacy Officer’s sign-off that its content is wholly synthetic before publication.</w:t>
      </w:r>
    </w:p>
    <w:p>
      <w:pPr>
        <w:pStyle w:val="Heading1"/>
        <w:keepNext/>
        <w:pBdr>
          <w:bottom w:val="single" w:color="0D9488" w:sz="6" w:space="2"/>
        </w:pBdr>
        <w:spacing w:after="180" w:before="340"/>
      </w:pPr>
      <w:r>
        <w:rPr>
          <w:rFonts w:ascii="Arial" w:cs="Arial" w:eastAsia="Arial" w:hAnsi="Arial"/>
          <w:b/>
          <w:bCs/>
          <w:color w:val="0F172A"/>
          <w:sz w:val="24"/>
          <w:szCs w:val="24"/>
        </w:rPr>
        <w:t xml:space="preserve">4. LABELING</w:t>
      </w:r>
    </w:p>
    <w:p>
      <w:pPr>
        <w:spacing w:after="160" w:line="264"/>
        <w:jc w:val="both"/>
      </w:pPr>
      <w:r>
        <w:rPr>
          <w:rFonts w:ascii="Times New Roman" w:cs="Times New Roman" w:eastAsia="Times New Roman" w:hAnsi="Times New Roman"/>
          <w:color w:val="0F172A"/>
          <w:sz w:val="22"/>
          <w:szCs w:val="22"/>
        </w:rPr>
        <w:t xml:space="preserve">Wherever a demonstration surface could reasonably be mistaken for live clinical data by a viewer (screenshots, sales decks, video walkthroughs, conference demonstrations), the surface shall carry a visible “Synthetic data — not real patients” designation. Marketing and investor materials reproduce demonstration content only with such labeling intact.</w:t>
      </w:r>
    </w:p>
    <w:p>
      <w:pPr>
        <w:pStyle w:val="Heading1"/>
        <w:keepNext/>
        <w:pBdr>
          <w:bottom w:val="single" w:color="0D9488" w:sz="6" w:space="2"/>
        </w:pBdr>
        <w:spacing w:after="180" w:before="340"/>
      </w:pPr>
      <w:r>
        <w:rPr>
          <w:rFonts w:ascii="Arial" w:cs="Arial" w:eastAsia="Arial" w:hAnsi="Arial"/>
          <w:b/>
          <w:bCs/>
          <w:color w:val="0F172A"/>
          <w:sz w:val="24"/>
          <w:szCs w:val="24"/>
        </w:rPr>
        <w:t xml:space="preserve">5. VERIFICATION PERFORMED</w:t>
      </w:r>
    </w:p>
    <w:p>
      <w:pPr>
        <w:spacing w:after="160" w:line="264"/>
        <w:jc w:val="both"/>
      </w:pPr>
      <w:r>
        <w:rPr>
          <w:rFonts w:ascii="Times New Roman" w:cs="Times New Roman" w:eastAsia="Times New Roman" w:hAnsi="Times New Roman"/>
          <w:color w:val="0F172A"/>
          <w:sz w:val="22"/>
          <w:szCs w:val="22"/>
        </w:rPr>
        <w:t xml:space="preserve">In connection with the adoption of this Policy, the following verification of the repository and seed tooling was performed and recorded on June 10, 2026: (a) automated pattern scan of application code, libraries, scripts, and fixtures for Social Security number formats returned zero matches; (b) inspection of seed tooling confirmed the universal “[ARKA-DEMO]” record prefix and dedicated reset script; (c) inspection of demonstration fixtures confirmed generation via the synthetic-data module; and (d) inspection of user-facing surfaces confirmed presence of no-PHI notices in the compliance bar and demonstration components. This verification shall be repeated quarterly under Section 3(a).</w:t>
      </w:r>
    </w:p>
    <w:p>
      <w:pPr>
        <w:pStyle w:val="Heading1"/>
        <w:keepNext/>
        <w:pBdr>
          <w:bottom w:val="single" w:color="0D9488" w:sz="6" w:space="2"/>
        </w:pBdr>
        <w:spacing w:after="180" w:before="340"/>
      </w:pPr>
      <w:r>
        <w:rPr>
          <w:rFonts w:ascii="Arial" w:cs="Arial" w:eastAsia="Arial" w:hAnsi="Arial"/>
          <w:b/>
          <w:bCs/>
          <w:color w:val="0F172A"/>
          <w:sz w:val="24"/>
          <w:szCs w:val="24"/>
        </w:rPr>
        <w:t xml:space="preserve">6. ATTESTATION</w:t>
      </w:r>
    </w:p>
    <w:p>
      <w:pPr>
        <w:spacing w:after="160" w:line="264"/>
        <w:jc w:val="both"/>
      </w:pPr>
      <w:r>
        <w:rPr>
          <w:rFonts w:ascii="Times New Roman" w:cs="Times New Roman" w:eastAsia="Times New Roman" w:hAnsi="Times New Roman"/>
          <w:i/>
          <w:iCs/>
          <w:color w:val="0F172A"/>
          <w:sz w:val="22"/>
          <w:szCs w:val="22"/>
        </w:rPr>
        <w:t xml:space="preserve">The undersigned, in their capacity as designated Privacy Officer and Security Officer of ARKA Health, Inc., attests that, to the best of their knowledge after the verification described in Section 5: (i) the ARKA Demo Environment contains no Protected Health Information and no real patient data; (ii) the controls described in Sections 2 and 3 are adopted and in force; and (iii) this attestation will be renewed, and the underlying verification re-performed, no less frequently than quarterly.</w:t>
      </w:r>
    </w:p>
    <w:p>
      <w:pPr>
        <w:pStyle w:val="Heading1"/>
        <w:keepNext/>
        <w:pBdr>
          <w:bottom w:val="single" w:color="0D9488" w:sz="6" w:space="2"/>
        </w:pBdr>
        <w:spacing w:after="180" w:before="340"/>
      </w:pPr>
      <w:r>
        <w:rPr>
          <w:rFonts w:ascii="Arial" w:cs="Arial" w:eastAsia="Arial" w:hAnsi="Arial"/>
          <w:b/>
          <w:bCs/>
          <w:color w:val="0F172A"/>
          <w:sz w:val="24"/>
          <w:szCs w:val="24"/>
        </w:rPr>
        <w:t xml:space="preserve">DOCUMENT CONTROL &amp;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tblHeader/>
        </w:trPr>
        <w:tc>
          <w:tcPr>
            <w:tcW w:type="dxa" w:w="1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Version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Date</w:t>
            </w:r>
          </w:p>
        </w:tc>
        <w:tc>
          <w:tcPr>
            <w:tcW w:type="dxa" w:w="2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Author / Reviewer</w:t>
            </w:r>
          </w:p>
        </w:tc>
        <w:tc>
          <w:tcPr>
            <w:tcW w:type="dxa" w:w="44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Description of Change</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0.9</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May 22,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(drafting); external review pending</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Initial draft circulated for internal review and counsel comment.</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Privacy &amp; Security Officer</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Adopted as effective policy of ARKA Health, Inc. by written approval of the undersigned officer.</w:t>
            </w:r>
          </w:p>
        </w:tc>
      </w:tr>
    </w:tbl>
    <w:p>
      <w:pPr>
        <w:pStyle w:val="Heading1"/>
        <w:keepNext/>
        <w:pBdr>
          <w:bottom w:val="single" w:color="0D9488" w:sz="6" w:space="2"/>
        </w:pBdr>
        <w:spacing w:after="180" w:before="340"/>
      </w:pPr>
      <w:r>
        <w:rPr>
          <w:rFonts w:ascii="Arial" w:cs="Arial" w:eastAsia="Arial" w:hAnsi="Arial"/>
          <w:b/>
          <w:bCs/>
          <w:color w:val="0F172A"/>
          <w:sz w:val="24"/>
          <w:szCs w:val="24"/>
        </w:rPr>
        <w:t xml:space="preserve">ADOPTION AND APPROVAL</w:t>
      </w:r>
    </w:p>
    <w:p>
      <w:pPr>
        <w:spacing w:after="160" w:line="264"/>
        <w:jc w:val="both"/>
      </w:pPr>
      <w:r>
        <w:rPr>
          <w:rFonts w:ascii="Times New Roman" w:cs="Times New Roman" w:eastAsia="Times New Roman" w:hAnsi="Times New Roman"/>
          <w:color w:val="0F172A"/>
          <w:sz w:val="22"/>
          <w:szCs w:val="22"/>
        </w:rPr>
        <w:t xml:space="preserve">The undersigned, being the duly designated Privacy Officer and Security Officer of ARKA Health, Inc., hereby adopts this document as an official policy of the Company, effective as of the Effective Date set forth on the cover page hereof. This document shall be reviewed no less frequently than annually and upon any material change to the Company’s operations, information systems, or applicable law, and may be amended only in accordance with ARKA-GOV-001 (Information Security &amp; Compliance Program Charter).</w:t>
      </w:r>
    </w:p>
    <w:p>
      <w:pPr>
        <w:spacing w:after="0" w:before="480"/>
      </w:pPr>
      <w:r>
        <w:rPr>
          <w:rFonts w:ascii="Arial" w:cs="Arial" w:eastAsia="Arial" w:hAnsi="Arial"/>
          <w:b/>
          <w:bCs/>
          <w:color w:val="0F172A"/>
          <w:sz w:val="20"/>
          <w:szCs w:val="20"/>
        </w:rPr>
        <w:t xml:space="preserve">ARKA HEALTH, INC.</w:t>
      </w:r>
    </w:p>
    <w:p>
      <w:pPr>
        <w:spacing w:after="0" w:before="360"/>
      </w:pPr>
      <w:r>
        <w:rPr>
          <w:rFonts w:ascii="Times New Roman" w:cs="Times New Roman" w:eastAsia="Times New Roman" w:hAnsi="Times New Roman"/>
          <w:color w:val="0F172A"/>
          <w:sz w:val="22"/>
          <w:szCs w:val="22"/>
        </w:rPr>
        <w:t xml:space="preserve">By: </w:t>
      </w:r>
      <w:r>
        <w:rPr>
          <w:rFonts w:ascii="Times New Roman" w:cs="Times New Roman" w:eastAsia="Times New Roman" w:hAnsi="Times New Roman"/>
          <w:color w:val="0F172A"/>
          <w:sz w:val="22"/>
          <w:szCs w:val="22"/>
        </w:rPr>
        <w:t xml:space="preserve">_________________________________</w:t>
      </w:r>
    </w:p>
    <w:p>
      <w:pPr>
        <w:spacing w:after="40" w:line="264"/>
        <w:jc w:val="both"/>
      </w:pPr>
      <w:r>
        <w:rPr>
          <w:rFonts w:ascii="Times New Roman" w:cs="Times New Roman" w:eastAsia="Times New Roman" w:hAnsi="Times New Roman"/>
          <w:color w:val="0F172A"/>
          <w:sz w:val="22"/>
          <w:szCs w:val="22"/>
        </w:rPr>
        <w:t xml:space="preserve">Name: Arri Kanna</w:t>
      </w:r>
    </w:p>
    <w:p>
      <w:pPr>
        <w:spacing w:after="40" w:line="264"/>
        <w:jc w:val="both"/>
      </w:pPr>
      <w:r>
        <w:rPr>
          <w:rFonts w:ascii="Times New Roman" w:cs="Times New Roman" w:eastAsia="Times New Roman" w:hAnsi="Times New Roman"/>
          <w:color w:val="0F172A"/>
          <w:sz w:val="22"/>
          <w:szCs w:val="22"/>
        </w:rPr>
        <w:t xml:space="preserve">Title: Founder &amp; Chief Executive Officer; Privacy &amp; Security Officer</w:t>
      </w:r>
    </w:p>
    <w:p>
      <w:pPr>
        <w:spacing w:after="200" w:line="264"/>
        <w:jc w:val="both"/>
      </w:pPr>
      <w:r>
        <w:rPr>
          <w:rFonts w:ascii="Times New Roman" w:cs="Times New Roman" w:eastAsia="Times New Roman" w:hAnsi="Times New Roman"/>
          <w:color w:val="0F172A"/>
          <w:sz w:val="22"/>
          <w:szCs w:val="22"/>
        </w:rPr>
        <w:t xml:space="preserve">Date: June 10,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ARKA-DEMO-001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ARKA-DEMO-001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spacing w:after="0"/>
    </w:pPr>
    <w:r>
      <w:drawing>
        <wp:inline distT="0" distB="0" distL="0" distR="0">
          <wp:extent cx="171450" cy="171450"/>
          <wp:effectExtent t="0" r="0" b="0" l="0"/>
          <wp:docPr id="1" name="arka-icon" descr="ARKA icon" title="A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334155"/>
        <w:spacing w:val="20"/>
        <w:sz w:val="15"/>
        <w:szCs w:val="15"/>
      </w:rPr>
      <w:t xml:space="preserve">  ARKA HEALTH, INC.</w:t>
    </w:r>
    <w:r>
      <w:rPr>
        <w:rFonts w:ascii="Arial" w:cs="Arial" w:eastAsia="Arial" w:hAnsi="Arial"/>
        <w:color w:val="475569"/>
        <w:sz w:val="15"/>
        <w:szCs w:val="15"/>
      </w:rPr>
      <w:t xml:space="preserve">	Demonstration Environment Synthetic Data Policy &amp; No-PHI Attestation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0F172A"/>
      <w:sz w:val="24"/>
      <w:szCs w:val="24"/>
    </w:rPr>
  </w:style>
  <w:style w:type="paragraph" w:styleId="Heading2">
    <w:name w:val="Heading 2"/>
    <w:basedOn w:val="Normal"/>
    <w:next w:val="Normal"/>
    <w:qFormat/>
    <w:pPr>
      <w:spacing w:after="120" w:before="240"/>
      <w:outlineLvl w:val="1"/>
    </w:pPr>
    <w:rPr>
      <w:rFonts w:ascii="Arial" w:cs="Arial" w:eastAsia="Arial" w:hAnsi="Arial"/>
      <w:b/>
      <w:bCs/>
      <w:color w:val="1E293B"/>
      <w:sz w:val="21"/>
      <w:szCs w:val="21"/>
    </w:rPr>
  </w:style>
  <w:style w:type="paragraph" w:styleId="Heading3">
    <w:name w:val="Heading 3"/>
    <w:basedOn w:val="Normal"/>
    <w:next w:val="Normal"/>
    <w:qFormat/>
    <w:pPr>
      <w:spacing w:after="100" w:before="200"/>
      <w:outlineLvl w:val="2"/>
    </w:pPr>
    <w:rPr>
      <w:rFonts w:ascii="Arial" w:cs="Arial" w:eastAsia="Arial" w:hAnsi="Arial"/>
      <w:b/>
      <w:bCs/>
      <w:color w:val="3341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208546984c2f504325fcd1c4597d2e1f9e263f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e3b20100cc4e932cc408853299d534746fe5c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Environment Synthetic Data Policy &amp; No-PHI Attestation</dc:title>
  <dc:creator>ARKA Health, Inc.</dc:creator>
  <dc:description>Controls ensuring the ARKA demonstration environment contains no Protected Health Information</dc:description>
  <cp:lastModifiedBy>Un-named</cp:lastModifiedBy>
  <cp:revision>1</cp:revision>
  <dcterms:created xsi:type="dcterms:W3CDTF">2026-06-11T01:36:24.789Z</dcterms:created>
  <dcterms:modified xsi:type="dcterms:W3CDTF">2026-06-11T01:36:24.789Z</dcterms:modified>
</cp:coreProperties>
</file>

<file path=docProps/custom.xml><?xml version="1.0" encoding="utf-8"?>
<Properties xmlns="http://schemas.openxmlformats.org/officeDocument/2006/custom-properties" xmlns:vt="http://schemas.openxmlformats.org/officeDocument/2006/docPropsVTypes"/>
</file>