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  <w:t xml:space="preserve">Al realizar un</w:t>
      </w:r>
      <w:r w:rsidDel="00000000" w:rsidR="00000000" w:rsidRPr="00000000">
        <w:rPr>
          <w:rtl w:val="0"/>
        </w:rPr>
        <w:t xml:space="preserve"> análisis exploratorio de los datos, se pudo observar tanto en la estadística descriptiva como en los gráficos, que la </w:t>
      </w:r>
      <w:r w:rsidDel="00000000" w:rsidR="00000000" w:rsidRPr="00000000">
        <w:rPr>
          <w:b w:val="1"/>
          <w:rtl w:val="0"/>
        </w:rPr>
        <w:t xml:space="preserve">demanda de gas natural en Argentina está dominantemente impulsada por la estacionalidad climática y, específicamente, por la necesidad de calefacción en el sector residencial.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Rule="auto"/>
        <w:ind w:right="600"/>
        <w:rPr/>
      </w:pPr>
      <w:r w:rsidDel="00000000" w:rsidR="00000000" w:rsidRPr="00000000">
        <w:rPr>
          <w:rtl w:val="0"/>
        </w:rPr>
        <w:t xml:space="preserve">De los datos se encontró:</w:t>
      </w:r>
    </w:p>
    <w:p w:rsidR="00000000" w:rsidDel="00000000" w:rsidP="00000000" w:rsidRDefault="00000000" w:rsidRPr="00000000" w14:paraId="00000003">
      <w:pPr>
        <w:keepNext w:val="0"/>
        <w:keepLines w:val="0"/>
        <w:spacing w:before="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numPr>
          <w:ilvl w:val="0"/>
          <w:numId w:val="6"/>
        </w:numPr>
        <w:spacing w:before="0" w:lineRule="auto"/>
        <w:ind w:left="720" w:right="60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Validación de la Demanda Climática (GDC)</w:t>
      </w:r>
    </w:p>
    <w:p w:rsidR="00000000" w:rsidDel="00000000" w:rsidP="00000000" w:rsidRDefault="00000000" w:rsidRPr="00000000" w14:paraId="00000005">
      <w:pPr>
        <w:keepNext w:val="0"/>
        <w:keepLines w:val="0"/>
        <w:spacing w:before="0" w:lineRule="auto"/>
        <w:ind w:left="720" w:right="600" w:firstLine="0"/>
        <w:rPr/>
      </w:pPr>
      <w:r w:rsidDel="00000000" w:rsidR="00000000" w:rsidRPr="00000000">
        <w:rPr>
          <w:rtl w:val="0"/>
        </w:rPr>
        <w:t xml:space="preserve">Se ven validadas</w:t>
      </w:r>
      <w:r w:rsidDel="00000000" w:rsidR="00000000" w:rsidRPr="00000000">
        <w:rPr>
          <w:rtl w:val="0"/>
        </w:rPr>
        <w:t xml:space="preserve"> las fuertes asimetrías y el papel central del GDC. La </w:t>
      </w:r>
      <w:r w:rsidDel="00000000" w:rsidR="00000000" w:rsidRPr="00000000">
        <w:rPr>
          <w:rtl w:val="0"/>
        </w:rPr>
        <w:t xml:space="preserve">temperatura promedio</w:t>
      </w:r>
      <w:r w:rsidDel="00000000" w:rsidR="00000000" w:rsidRPr="00000000">
        <w:rPr>
          <w:rtl w:val="0"/>
        </w:rPr>
        <w:t xml:space="preserve"> tiene un rango amplio(es importante considerar que esa columna agrupa diferentes provincias, por lo cual es lógica la variación dada, justamente, la variación de amplitud térmica a lo largo de Argentina). Esta gran variabilidad impulsa la estacionalidad.</w:t>
      </w:r>
    </w:p>
    <w:p w:rsidR="00000000" w:rsidDel="00000000" w:rsidP="00000000" w:rsidRDefault="00000000" w:rsidRPr="00000000" w14:paraId="00000006">
      <w:pPr>
        <w:keepNext w:val="0"/>
        <w:keepLines w:val="0"/>
        <w:spacing w:before="0" w:lineRule="auto"/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Asimetría del GDC:</w:t>
      </w:r>
    </w:p>
    <w:p w:rsidR="00000000" w:rsidDel="00000000" w:rsidP="00000000" w:rsidRDefault="00000000" w:rsidRPr="00000000" w14:paraId="0000000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Hay asimetría en el gdc, pues los dos primeros cuartiles son igual a 0 (Recordando además, que el segundo cuartil equivale a la mediana). </w:t>
      </w:r>
      <w:r w:rsidDel="00000000" w:rsidR="00000000" w:rsidRPr="00000000">
        <w:rPr>
          <w:rtl w:val="0"/>
        </w:rPr>
        <w:t xml:space="preserve">Esta asimetría se </w:t>
      </w:r>
      <w:r w:rsidDel="00000000" w:rsidR="00000000" w:rsidRPr="00000000">
        <w:rPr>
          <w:b w:val="1"/>
          <w:rtl w:val="0"/>
        </w:rPr>
        <w:t xml:space="preserve">cuantifica </w:t>
      </w:r>
      <w:r w:rsidDel="00000000" w:rsidR="00000000" w:rsidRPr="00000000">
        <w:rPr>
          <w:rtl w:val="0"/>
        </w:rPr>
        <w:t xml:space="preserve">en el histograma donde se observa que al menos el </w:t>
      </w:r>
      <w:r w:rsidDel="00000000" w:rsidR="00000000" w:rsidRPr="00000000">
        <w:rPr>
          <w:b w:val="1"/>
          <w:rtl w:val="0"/>
        </w:rPr>
        <w:t xml:space="preserve">50% de los meses registrados no tienen necesidad de calefacción</w:t>
      </w:r>
      <w:r w:rsidDel="00000000" w:rsidR="00000000" w:rsidRPr="00000000">
        <w:rPr>
          <w:rtl w:val="0"/>
        </w:rPr>
        <w:t xml:space="preserve"> (meses cálidos), lo que confirma la segmentación de la demanda. Por otro lado, la </w:t>
      </w:r>
      <w:r w:rsidDel="00000000" w:rsidR="00000000" w:rsidRPr="00000000">
        <w:rPr>
          <w:b w:val="1"/>
          <w:rtl w:val="0"/>
        </w:rPr>
        <w:t xml:space="preserve">media del </w:t>
      </w:r>
      <w:r w:rsidDel="00000000" w:rsidR="00000000" w:rsidRPr="00000000">
        <w:rPr>
          <w:b w:val="1"/>
          <w:rtl w:val="0"/>
        </w:rPr>
        <w:t xml:space="preserve">gdc</w:t>
      </w:r>
      <w:r w:rsidDel="00000000" w:rsidR="00000000" w:rsidRPr="00000000">
        <w:rPr>
          <w:b w:val="1"/>
          <w:rtl w:val="0"/>
        </w:rPr>
        <w:t xml:space="preserve"> es de 45.45</w:t>
      </w:r>
      <w:r w:rsidDel="00000000" w:rsidR="00000000" w:rsidRPr="00000000">
        <w:rPr>
          <w:rtl w:val="0"/>
        </w:rPr>
        <w:t xml:space="preserve"> no coincidiendo con la mediana por mucho, lo que es un signo evidente de la asimetría positiva generada por los picos de invierno.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Consumo y Demanda</w:t>
      </w:r>
    </w:p>
    <w:p w:rsidR="00000000" w:rsidDel="00000000" w:rsidP="00000000" w:rsidRDefault="00000000" w:rsidRPr="00000000" w14:paraId="0000000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El análisis de las variables de consumo confirma que la demanda de calefacción genera la mayor variabilidad y los picos más extremos.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Consumo Residencial Extremo: </w:t>
      </w:r>
      <w:r w:rsidDel="00000000" w:rsidR="00000000" w:rsidRPr="00000000">
        <w:rPr>
          <w:rtl w:val="0"/>
        </w:rPr>
        <w:t xml:space="preserve">El consumo promedio (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0"/>
        </w:rPr>
        <w:t xml:space="preserve">) del sector </w:t>
      </w:r>
      <w:r w:rsidDel="00000000" w:rsidR="00000000" w:rsidRPr="00000000">
        <w:rPr>
          <w:b w:val="1"/>
          <w:rtl w:val="0"/>
        </w:rPr>
        <w:t xml:space="preserve">residencial</w:t>
      </w:r>
      <w:r w:rsidDel="00000000" w:rsidR="00000000" w:rsidRPr="00000000">
        <w:rPr>
          <w:b w:val="1"/>
          <w:rtl w:val="0"/>
        </w:rPr>
        <w:t xml:space="preserve"> es 811.64</w:t>
      </w:r>
      <w:r w:rsidDel="00000000" w:rsidR="00000000" w:rsidRPr="00000000">
        <w:rPr>
          <w:rtl w:val="0"/>
        </w:rPr>
        <w:t xml:space="preserve">, pero su </w:t>
      </w:r>
      <w:r w:rsidDel="00000000" w:rsidR="00000000" w:rsidRPr="00000000">
        <w:rPr>
          <w:b w:val="1"/>
          <w:rtl w:val="0"/>
        </w:rPr>
        <w:t xml:space="preserve">máximo es 1770.06</w:t>
      </w:r>
      <w:r w:rsidDel="00000000" w:rsidR="00000000" w:rsidRPr="00000000">
        <w:rPr>
          <w:rtl w:val="0"/>
        </w:rPr>
        <w:t xml:space="preserve"> levemente más del doble.</w:t>
      </w:r>
    </w:p>
    <w:p w:rsidR="00000000" w:rsidDel="00000000" w:rsidP="00000000" w:rsidRDefault="00000000" w:rsidRPr="00000000" w14:paraId="0000000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desvío estándar (</w:t>
      </w:r>
      <w:r w:rsidDel="00000000" w:rsidR="00000000" w:rsidRPr="00000000">
        <w:rPr>
          <w:b w:val="1"/>
          <w:rtl w:val="0"/>
        </w:rPr>
        <w:t xml:space="preserve">std</w:t>
      </w:r>
      <w:r w:rsidDel="00000000" w:rsidR="00000000" w:rsidRPr="00000000">
        <w:rPr>
          <w:b w:val="1"/>
          <w:rtl w:val="0"/>
        </w:rPr>
        <w:t xml:space="preserve">) es 485.66</w:t>
      </w:r>
      <w:r w:rsidDel="00000000" w:rsidR="00000000" w:rsidRPr="00000000">
        <w:rPr>
          <w:rtl w:val="0"/>
        </w:rPr>
        <w:t xml:space="preserve">, en relación con la media, es muy extremo. Esto significa que el consumo residencial es la </w:t>
      </w:r>
      <w:r w:rsidDel="00000000" w:rsidR="00000000" w:rsidRPr="00000000">
        <w:rPr>
          <w:b w:val="1"/>
          <w:rtl w:val="0"/>
        </w:rPr>
        <w:t xml:space="preserve">variable más volátil</w:t>
      </w:r>
      <w:r w:rsidDel="00000000" w:rsidR="00000000" w:rsidRPr="00000000">
        <w:rPr>
          <w:rtl w:val="0"/>
        </w:rPr>
        <w:t xml:space="preserve"> y sensible a los picos de frío.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Consumo 'Otros sectores': </w:t>
      </w:r>
      <w:r w:rsidDel="00000000" w:rsidR="00000000" w:rsidRPr="00000000">
        <w:rPr>
          <w:rtl w:val="0"/>
        </w:rPr>
        <w:t xml:space="preserve">A comparación del consumo residencial, el desvío estándar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rtl w:val="0"/>
        </w:rPr>
        <w:t xml:space="preserve">Otros sectores</w:t>
      </w:r>
      <w:r w:rsidDel="00000000" w:rsidR="00000000" w:rsidRPr="00000000">
        <w:rPr>
          <w:b w:val="1"/>
          <w:rtl w:val="0"/>
        </w:rPr>
        <w:t xml:space="preserve"> es 213.09</w:t>
      </w:r>
      <w:r w:rsidDel="00000000" w:rsidR="00000000" w:rsidRPr="00000000">
        <w:rPr>
          <w:rtl w:val="0"/>
        </w:rPr>
        <w:t xml:space="preserve"> es mucho menor</w:t>
      </w:r>
      <w:r w:rsidDel="00000000" w:rsidR="00000000" w:rsidRPr="00000000">
        <w:rPr>
          <w:rtl w:val="0"/>
        </w:rPr>
        <w:t xml:space="preserve">. Esto sugiere que el consumo de otros sectores se mantiene </w:t>
      </w:r>
      <w:r w:rsidDel="00000000" w:rsidR="00000000" w:rsidRPr="00000000">
        <w:rPr>
          <w:b w:val="1"/>
          <w:rtl w:val="0"/>
        </w:rPr>
        <w:t xml:space="preserve">más estable</w:t>
      </w:r>
      <w:r w:rsidDel="00000000" w:rsidR="00000000" w:rsidRPr="00000000">
        <w:rPr>
          <w:rtl w:val="0"/>
        </w:rPr>
        <w:t xml:space="preserve"> y menos influenciado por las variaciones extremas de temperatura.</w:t>
      </w:r>
    </w:p>
    <w:p w:rsidR="00000000" w:rsidDel="00000000" w:rsidP="00000000" w:rsidRDefault="00000000" w:rsidRPr="00000000" w14:paraId="0000000E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Producción vs. Total: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 media de producción</w:t>
      </w:r>
      <w:r w:rsidDel="00000000" w:rsidR="00000000" w:rsidRPr="00000000">
        <w:rPr>
          <w:rtl w:val="0"/>
        </w:rPr>
        <w:t xml:space="preserve"> de gas natural</w:t>
      </w:r>
      <w:r w:rsidDel="00000000" w:rsidR="00000000" w:rsidRPr="00000000">
        <w:rPr>
          <w:rtl w:val="0"/>
        </w:rPr>
        <w:t xml:space="preserve"> es de 3939.55, la cual es superior a la media de </w:t>
      </w:r>
      <w:r w:rsidDel="00000000" w:rsidR="00000000" w:rsidRPr="00000000">
        <w:rPr>
          <w:rtl w:val="0"/>
        </w:rPr>
        <w:t xml:space="preserve">total (total suma el gas residencial y otros sectores), quien cuenta con una media de</w:t>
      </w:r>
      <w:r w:rsidDel="00000000" w:rsidR="00000000" w:rsidRPr="00000000">
        <w:rPr>
          <w:rtl w:val="0"/>
        </w:rPr>
        <w:t xml:space="preserve"> 3627.44,</w:t>
      </w:r>
      <w:r w:rsidDel="00000000" w:rsidR="00000000" w:rsidRPr="00000000">
        <w:rPr>
          <w:rtl w:val="0"/>
        </w:rPr>
        <w:t xml:space="preserve"> lo que sugiere que, en promedio, hay un excedente de producción destinado (para exportación, almacenamiento o pérdidas), pero esto se revierte durante los picos de demanda invernal (observado en el gráfico de barras).</w:t>
      </w:r>
    </w:p>
    <w:p w:rsidR="00000000" w:rsidDel="00000000" w:rsidP="00000000" w:rsidRDefault="00000000" w:rsidRPr="00000000" w14:paraId="00000010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Conclusiones</w:t>
      </w:r>
    </w:p>
    <w:p w:rsidR="00000000" w:rsidDel="00000000" w:rsidP="00000000" w:rsidRDefault="00000000" w:rsidRPr="00000000" w14:paraId="00000012">
      <w:pPr>
        <w:keepNext w:val="0"/>
        <w:keepLines w:val="0"/>
        <w:spacing w:before="0" w:lineRule="auto"/>
        <w:ind w:right="600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El Clima y la Demanda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Dominancia del Frío:</w:t>
      </w:r>
      <w:r w:rsidDel="00000000" w:rsidR="00000000" w:rsidRPr="00000000">
        <w:rPr>
          <w:rtl w:val="0"/>
        </w:rPr>
        <w:t xml:space="preserve"> La </w:t>
      </w:r>
      <w:r w:rsidDel="00000000" w:rsidR="00000000" w:rsidRPr="00000000">
        <w:rPr>
          <w:b w:val="1"/>
          <w:rtl w:val="0"/>
        </w:rPr>
        <w:t xml:space="preserve">temperatura promedio</w:t>
      </w:r>
      <w:r w:rsidDel="00000000" w:rsidR="00000000" w:rsidRPr="00000000">
        <w:rPr>
          <w:rtl w:val="0"/>
        </w:rPr>
        <w:t xml:space="preserve"> muestra una distribución bimodal, confirmando dos regímenes climáticos: cálido (verano) y frío (invierno), lo que explica la estacionalidad del consumo.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Validación de la Métrica (GDC):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rtl w:val="0"/>
        </w:rPr>
        <w:t xml:space="preserve">Grado Día de Calefacción (GDC)</w:t>
      </w:r>
      <w:r w:rsidDel="00000000" w:rsidR="00000000" w:rsidRPr="00000000">
        <w:rPr>
          <w:rtl w:val="0"/>
        </w:rPr>
        <w:t xml:space="preserve"> es la variable clave. El gráfico </w:t>
      </w:r>
      <w:r w:rsidDel="00000000" w:rsidR="00000000" w:rsidRPr="00000000">
        <w:rPr>
          <w:b w:val="1"/>
          <w:rtl w:val="0"/>
        </w:rPr>
        <w:t xml:space="preserve">GDC vs. Temperatura</w:t>
      </w:r>
      <w:r w:rsidDel="00000000" w:rsidR="00000000" w:rsidRPr="00000000">
        <w:rPr>
          <w:rtl w:val="0"/>
        </w:rPr>
        <w:t xml:space="preserve"> confirma su cálculo basado en la temperatura base igual  a 18°C.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Fuerte Correlación: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i w:val="1"/>
          <w:rtl w:val="0"/>
        </w:rPr>
        <w:t xml:space="preserve">pair plots</w:t>
      </w:r>
      <w:r w:rsidDel="00000000" w:rsidR="00000000" w:rsidRPr="00000000">
        <w:rPr>
          <w:rtl w:val="0"/>
        </w:rPr>
        <w:t xml:space="preserve"> indican una relación </w:t>
      </w:r>
      <w:r w:rsidDel="00000000" w:rsidR="00000000" w:rsidRPr="00000000">
        <w:rPr>
          <w:b w:val="1"/>
          <w:rtl w:val="0"/>
        </w:rPr>
        <w:t xml:space="preserve">fuerte y positiva</w:t>
      </w:r>
      <w:r w:rsidDel="00000000" w:rsidR="00000000" w:rsidRPr="00000000">
        <w:rPr>
          <w:rtl w:val="0"/>
        </w:rPr>
        <w:t xml:space="preserve"> entre el </w:t>
      </w:r>
      <w:r w:rsidDel="00000000" w:rsidR="00000000" w:rsidRPr="00000000">
        <w:rPr>
          <w:b w:val="1"/>
          <w:rtl w:val="0"/>
        </w:rPr>
        <w:t xml:space="preserve">GDC</w:t>
      </w:r>
      <w:r w:rsidDel="00000000" w:rsidR="00000000" w:rsidRPr="00000000">
        <w:rPr>
          <w:rtl w:val="0"/>
        </w:rPr>
        <w:t xml:space="preserve"> y el consumo de gas, lo que prueba que la necesidad de calefacción es el principal impulsor de la demanda.</w:t>
      </w:r>
    </w:p>
    <w:p w:rsidR="00000000" w:rsidDel="00000000" w:rsidP="00000000" w:rsidRDefault="00000000" w:rsidRPr="00000000" w14:paraId="00000016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Patrones de Consumo y Distribución (Volatilidad)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Pico Residencial:</w:t>
      </w:r>
      <w:r w:rsidDel="00000000" w:rsidR="00000000" w:rsidRPr="00000000">
        <w:rPr>
          <w:rtl w:val="0"/>
        </w:rPr>
        <w:t xml:space="preserve"> El consumo del sector </w:t>
      </w:r>
      <w:r w:rsidDel="00000000" w:rsidR="00000000" w:rsidRPr="00000000">
        <w:rPr>
          <w:b w:val="1"/>
          <w:rtl w:val="0"/>
        </w:rPr>
        <w:t xml:space="preserve">residencial</w:t>
      </w:r>
      <w:r w:rsidDel="00000000" w:rsidR="00000000" w:rsidRPr="00000000">
        <w:rPr>
          <w:b w:val="1"/>
          <w:rtl w:val="0"/>
        </w:rPr>
        <w:t xml:space="preserve"> es el más volátil</w:t>
      </w:r>
      <w:r w:rsidDel="00000000" w:rsidR="00000000" w:rsidRPr="00000000">
        <w:rPr>
          <w:rtl w:val="0"/>
        </w:rPr>
        <w:t xml:space="preserve"> y el principal motor del consumo total. Su </w:t>
      </w:r>
      <w:r w:rsidDel="00000000" w:rsidR="00000000" w:rsidRPr="00000000">
        <w:rPr>
          <w:b w:val="1"/>
          <w:rtl w:val="0"/>
        </w:rPr>
        <w:t xml:space="preserve">desviación estándar es la más alta</w:t>
      </w:r>
      <w:r w:rsidDel="00000000" w:rsidR="00000000" w:rsidRPr="00000000">
        <w:rPr>
          <w:rtl w:val="0"/>
        </w:rPr>
        <w:t xml:space="preserve">, y el valor máximo duplica su valor promedio, lo que apunta a </w:t>
      </w:r>
      <w:r w:rsidDel="00000000" w:rsidR="00000000" w:rsidRPr="00000000">
        <w:rPr>
          <w:b w:val="1"/>
          <w:rtl w:val="0"/>
        </w:rPr>
        <w:t xml:space="preserve">picos extremos de demanda</w:t>
      </w:r>
      <w:r w:rsidDel="00000000" w:rsidR="00000000" w:rsidRPr="00000000">
        <w:rPr>
          <w:rtl w:val="0"/>
        </w:rPr>
        <w:t xml:space="preserve"> durante el invierno.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Estabilidad en Otros Sectores:</w:t>
      </w:r>
      <w:r w:rsidDel="00000000" w:rsidR="00000000" w:rsidRPr="00000000">
        <w:rPr>
          <w:rtl w:val="0"/>
        </w:rPr>
        <w:t xml:space="preserve"> El consumo de </w:t>
      </w:r>
      <w:r w:rsidDel="00000000" w:rsidR="00000000" w:rsidRPr="00000000">
        <w:rPr>
          <w:b w:val="1"/>
          <w:rtl w:val="0"/>
        </w:rPr>
        <w:t xml:space="preserve">Otros sectores</w:t>
      </w:r>
      <w:r w:rsidDel="00000000" w:rsidR="00000000" w:rsidRPr="00000000">
        <w:rPr>
          <w:rtl w:val="0"/>
        </w:rPr>
        <w:t xml:space="preserve"> es relativamente más estable (menor desviación estándar), lo que sugiere que este consumo depende menos de las fluctuaciones climáticas extremas.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Correlación de Proporciones:</w:t>
      </w:r>
      <w:r w:rsidDel="00000000" w:rsidR="00000000" w:rsidRPr="00000000">
        <w:rPr>
          <w:rtl w:val="0"/>
        </w:rPr>
        <w:t xml:space="preserve"> La matriz de correlación muestra que el </w:t>
      </w:r>
      <w:r w:rsidDel="00000000" w:rsidR="00000000" w:rsidRPr="00000000">
        <w:rPr>
          <w:b w:val="1"/>
          <w:rtl w:val="0"/>
        </w:rPr>
        <w:t xml:space="preserve">consumo absoluto residencial</w:t>
      </w:r>
      <w:r w:rsidDel="00000000" w:rsidR="00000000" w:rsidRPr="00000000">
        <w:rPr>
          <w:rtl w:val="0"/>
        </w:rPr>
        <w:t xml:space="preserve"> está correlacionado con su </w:t>
      </w:r>
      <w:r w:rsidDel="00000000" w:rsidR="00000000" w:rsidRPr="00000000">
        <w:rPr>
          <w:b w:val="1"/>
          <w:rtl w:val="0"/>
        </w:rPr>
        <w:t xml:space="preserve">participación porcentual</w:t>
      </w:r>
      <w:r w:rsidDel="00000000" w:rsidR="00000000" w:rsidRPr="00000000">
        <w:rPr>
          <w:rtl w:val="0"/>
        </w:rPr>
        <w:t xml:space="preserve">. Esto significa que cuando el consumo residencial aumenta, acapara una porción mucho mayor del suministro total, porque resulta que el consumo residencial </w:t>
      </w:r>
      <w:r w:rsidDel="00000000" w:rsidR="00000000" w:rsidRPr="00000000">
        <w:rPr>
          <w:b w:val="1"/>
          <w:rtl w:val="0"/>
        </w:rPr>
        <w:t xml:space="preserve">es tan dominante</w:t>
      </w:r>
      <w:r w:rsidDel="00000000" w:rsidR="00000000" w:rsidRPr="00000000">
        <w:rPr>
          <w:rtl w:val="0"/>
        </w:rPr>
        <w:t xml:space="preserve"> que cuando la demanda total de gas sube, es porque el consumo residencial subió, y viceversa. Esta correlación tan fuerte  de +0.99 valida la conclusión de que el sector residencial es el </w:t>
      </w:r>
      <w:r w:rsidDel="00000000" w:rsidR="00000000" w:rsidRPr="00000000">
        <w:rPr>
          <w:b w:val="1"/>
          <w:rtl w:val="0"/>
        </w:rPr>
        <w:t xml:space="preserve">principal impulsor</w:t>
      </w:r>
      <w:r w:rsidDel="00000000" w:rsidR="00000000" w:rsidRPr="00000000">
        <w:rPr>
          <w:rtl w:val="0"/>
        </w:rPr>
        <w:t xml:space="preserve"> de los movimientos en el mercado del gas, tanto en términos de volumen como de distribución porcentual.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before="0" w:lineRule="auto"/>
        <w:ind w:right="600"/>
        <w:rPr>
          <w:b w:val="1"/>
        </w:rPr>
      </w:pPr>
      <w:r w:rsidDel="00000000" w:rsidR="00000000" w:rsidRPr="00000000">
        <w:rPr>
          <w:b w:val="1"/>
          <w:rtl w:val="0"/>
        </w:rPr>
        <w:t xml:space="preserve">Desafío Crítico del Suministro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Brecha Invernal:</w:t>
      </w:r>
      <w:r w:rsidDel="00000000" w:rsidR="00000000" w:rsidRPr="00000000">
        <w:rPr>
          <w:rtl w:val="0"/>
        </w:rPr>
        <w:t xml:space="preserve"> El gráfico de barras por estación muestra que el </w:t>
      </w:r>
      <w:r w:rsidDel="00000000" w:rsidR="00000000" w:rsidRPr="00000000">
        <w:rPr>
          <w:b w:val="1"/>
          <w:rtl w:val="0"/>
        </w:rPr>
        <w:t xml:space="preserve">Consumo total en Invierno</w:t>
      </w:r>
      <w:r w:rsidDel="00000000" w:rsidR="00000000" w:rsidRPr="00000000">
        <w:rPr>
          <w:rtl w:val="0"/>
        </w:rPr>
        <w:t xml:space="preserve"> supera la </w:t>
      </w:r>
      <w:r w:rsidDel="00000000" w:rsidR="00000000" w:rsidRPr="00000000">
        <w:rPr>
          <w:b w:val="1"/>
          <w:rtl w:val="0"/>
        </w:rPr>
        <w:t xml:space="preserve">Producción destinada promedio</w:t>
      </w:r>
      <w:r w:rsidDel="00000000" w:rsidR="00000000" w:rsidRPr="00000000">
        <w:rPr>
          <w:rtl w:val="0"/>
        </w:rPr>
        <w:t xml:space="preserve">. Esto indica un déficit estructural en la estación fría, lo que requiere cubrir la demanda con importaciones o reservas.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Impacto Geográfico:</w:t>
      </w:r>
      <w:r w:rsidDel="00000000" w:rsidR="00000000" w:rsidRPr="00000000">
        <w:rPr>
          <w:rtl w:val="0"/>
        </w:rPr>
        <w:t xml:space="preserve"> El mapa de calor identifica a las provincias del Sur (ej., Tierra del Fuego, Santa Cruz) como </w:t>
      </w:r>
      <w:r w:rsidDel="00000000" w:rsidR="00000000" w:rsidRPr="00000000">
        <w:rPr>
          <w:b w:val="1"/>
          <w:rtl w:val="0"/>
        </w:rPr>
        <w:t xml:space="preserve">zonas de demanda constante</w:t>
      </w:r>
      <w:r w:rsidDel="00000000" w:rsidR="00000000" w:rsidRPr="00000000">
        <w:rPr>
          <w:rtl w:val="0"/>
        </w:rPr>
        <w:t xml:space="preserve"> debido a sus bajas temperaturas crónicas, mientras que las provincias del centro/norte impulsan la variabilidad extrema en invierno.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after="80" w:lineRule="auto"/>
      <w:ind w:right="600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Consumo y Demanda de Gas Natural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