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4"/>
        <w:rPr>
          <w:color w:val="000000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</w:r>
      <w:r>
        <w:rPr>
          <w:color w:val="000000"/>
          <w:sz w:val="18"/>
          <w:szCs w:val="18"/>
        </w:rPr>
      </w:r>
    </w:p>
    <w:tbl>
      <w:tblPr>
        <w:tblStyle w:val="847"/>
        <w:tblpPr w:horzAnchor="margin" w:tblpXSpec="left" w:vertAnchor="page" w:tblpY="705" w:leftFromText="180" w:topFromText="0" w:rightFromText="180" w:bottomFromText="0"/>
        <w:tblW w:w="107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44"/>
        <w:gridCol w:w="4534"/>
        <w:gridCol w:w="2695"/>
      </w:tblGrid>
      <w:tr>
        <w:tblPrEx/>
        <w:trPr>
          <w:trHeight w:val="4684"/>
        </w:trPr>
        <w:tc>
          <w:tcPr>
            <w:gridSpan w:val="3"/>
            <w:tcBorders>
              <w:bottom w:val="single" w:color="000000" w:sz="4" w:space="0"/>
            </w:tcBorders>
            <w:tcW w:w="10773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 ОБРАЗОВАТЕЛЬНОЕ УЧРЕЖДЕНИЕ ВЫСШЕГО ОБРАЗОВАНИЯ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«РОСТОВСКИЙ ГОСУДАРСТВЕННЫЙ ЭКОНОМИЧЕСКИЙ УНИВЕРСИТЕТ (РИНХ)»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ind w:right="1533"/>
              <w:spacing w:before="16"/>
              <w:rPr>
                <w:b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  <w:sz w:val="28"/>
                <w:szCs w:val="28"/>
              </w:rPr>
            </w:r>
            <w:r>
              <w:rPr>
                <w:b/>
                <w:color w:val="000000"/>
                <w:sz w:val="28"/>
                <w:szCs w:val="28"/>
              </w:rPr>
            </w: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ind w:left="2265" w:right="1533" w:hanging="39"/>
              <w:jc w:val="center"/>
              <w:spacing w:before="16"/>
              <w:rPr>
                <w:b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  <w:sz w:val="28"/>
                <w:szCs w:val="28"/>
              </w:rPr>
              <w:t xml:space="preserve">АТТЕСТАЦИОННЫЙ ЛИСТ ПО УЧЕБНОЙ ПРАКТИКЕ</w:t>
            </w:r>
            <w:r>
              <w:rPr>
                <w:b/>
                <w:color w:val="000000"/>
                <w:sz w:val="28"/>
                <w:szCs w:val="28"/>
              </w:rPr>
            </w: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ind w:left="2265" w:right="1533" w:hanging="39"/>
              <w:jc w:val="center"/>
              <w:spacing w:before="16"/>
              <w:rPr>
                <w:b/>
                <w:color w:val="00000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  <w:sz w:val="18"/>
                <w:szCs w:val="18"/>
              </w:rPr>
            </w:r>
            <w:r>
              <w:rPr>
                <w:b/>
                <w:color w:val="000000"/>
                <w:sz w:val="18"/>
                <w:szCs w:val="18"/>
              </w:rPr>
            </w:r>
            <w:r>
              <w:rPr>
                <w:b/>
                <w:color w:val="000000"/>
                <w:sz w:val="18"/>
                <w:szCs w:val="18"/>
              </w:rPr>
            </w:r>
          </w:p>
          <w:p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Карасёва Арина Александровна 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  <w:p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ФИО студента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обучающ</w:t>
            </w:r>
            <w:r>
              <w:rPr>
                <w:sz w:val="18"/>
                <w:szCs w:val="18"/>
              </w:rPr>
              <w:t xml:space="preserve">аяся</w:t>
            </w:r>
            <w:r>
              <w:rPr>
                <w:sz w:val="18"/>
                <w:szCs w:val="18"/>
              </w:rPr>
              <w:t xml:space="preserve">  на 2  курсе группы ИС-202  по специальности СПО </w:t>
            </w:r>
            <w:r>
              <w:rPr>
                <w:sz w:val="18"/>
                <w:szCs w:val="18"/>
                <w:u w:val="single"/>
              </w:rPr>
              <w:t xml:space="preserve">09.02.07 «Информационные системы и программирование»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                                                                                      код и наименование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успешно прошла  </w:t>
            </w:r>
            <w:r>
              <w:rPr>
                <w:sz w:val="18"/>
                <w:szCs w:val="18"/>
                <w:u w:val="single"/>
              </w:rPr>
              <w:t xml:space="preserve">учебную практику </w:t>
            </w:r>
            <w:r>
              <w:rPr>
                <w:sz w:val="18"/>
                <w:szCs w:val="18"/>
              </w:rPr>
              <w:t xml:space="preserve"> по профессиональному модулю 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«ПМ 03 </w:t>
            </w:r>
            <w:r>
              <w:rPr>
                <w:b/>
                <w:sz w:val="18"/>
                <w:szCs w:val="18"/>
                <w:u w:val="single"/>
              </w:rPr>
              <w:t xml:space="preserve">Ревьюирование</w:t>
            </w:r>
            <w:r>
              <w:rPr>
                <w:b/>
                <w:sz w:val="18"/>
                <w:szCs w:val="18"/>
                <w:u w:val="single"/>
              </w:rPr>
              <w:t xml:space="preserve"> программных модулей »</w:t>
            </w:r>
            <w:r>
              <w:rPr>
                <w:b/>
                <w:sz w:val="18"/>
                <w:szCs w:val="18"/>
                <w:u w:val="single"/>
              </w:rPr>
            </w:r>
            <w:r>
              <w:rPr>
                <w:b/>
                <w:sz w:val="18"/>
                <w:szCs w:val="18"/>
                <w:u w:val="single"/>
              </w:rPr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объеме </w:t>
            </w:r>
            <w:r>
              <w:rPr>
                <w:b/>
                <w:sz w:val="18"/>
                <w:szCs w:val="18"/>
              </w:rPr>
              <w:t xml:space="preserve">36 </w:t>
            </w:r>
            <w:r>
              <w:rPr>
                <w:sz w:val="18"/>
                <w:szCs w:val="18"/>
              </w:rPr>
              <w:t xml:space="preserve">часов  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«</w:t>
            </w:r>
            <w:r>
              <w:rPr>
                <w:bCs/>
                <w:sz w:val="18"/>
                <w:szCs w:val="18"/>
                <w:u w:val="single"/>
              </w:rPr>
              <w:t xml:space="preserve"> 2 </w:t>
            </w:r>
            <w:r>
              <w:rPr>
                <w:bCs/>
                <w:sz w:val="18"/>
                <w:szCs w:val="18"/>
              </w:rPr>
              <w:t xml:space="preserve">» </w:t>
            </w:r>
            <w:r>
              <w:rPr>
                <w:sz w:val="18"/>
                <w:szCs w:val="18"/>
                <w:u w:val="single"/>
              </w:rPr>
              <w:t xml:space="preserve"> июня</w:t>
            </w:r>
            <w:r>
              <w:rPr>
                <w:sz w:val="18"/>
                <w:szCs w:val="18"/>
              </w:rPr>
              <w:t xml:space="preserve"> 202</w:t>
            </w: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  <w:t xml:space="preserve"> г. по «</w:t>
            </w:r>
            <w:r>
              <w:rPr>
                <w:sz w:val="18"/>
                <w:szCs w:val="18"/>
                <w:u w:val="single"/>
              </w:rPr>
              <w:t xml:space="preserve"> 7 </w:t>
            </w:r>
            <w:r>
              <w:rPr>
                <w:sz w:val="18"/>
                <w:szCs w:val="18"/>
              </w:rPr>
              <w:t xml:space="preserve">»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июня  </w:t>
            </w:r>
            <w:r>
              <w:rPr>
                <w:sz w:val="18"/>
                <w:szCs w:val="18"/>
              </w:rPr>
              <w:t xml:space="preserve">202</w:t>
            </w: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  <w:t xml:space="preserve"> г.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 организации </w:t>
            </w:r>
            <w:r>
              <w:rPr>
                <w:sz w:val="18"/>
                <w:szCs w:val="18"/>
                <w:u w:val="single"/>
              </w:rPr>
              <w:t xml:space="preserve">Финансово-экономических колледж РГЭУ (РИНХ); г. </w:t>
            </w:r>
            <w:r>
              <w:rPr>
                <w:sz w:val="18"/>
                <w:szCs w:val="18"/>
                <w:u w:val="single"/>
              </w:rPr>
              <w:t xml:space="preserve">Ростов</w:t>
            </w:r>
            <w:r>
              <w:rPr>
                <w:sz w:val="18"/>
                <w:szCs w:val="18"/>
                <w:u w:val="single"/>
              </w:rPr>
              <w:t xml:space="preserve">-на-Дону, пер. </w:t>
            </w:r>
            <w:r>
              <w:rPr>
                <w:sz w:val="18"/>
                <w:szCs w:val="18"/>
                <w:u w:val="single"/>
              </w:rPr>
              <w:t xml:space="preserve">Доломановский</w:t>
            </w:r>
            <w:r>
              <w:rPr>
                <w:sz w:val="18"/>
                <w:szCs w:val="18"/>
                <w:u w:val="single"/>
              </w:rPr>
              <w:t xml:space="preserve">, 53.</w:t>
            </w:r>
            <w:r>
              <w:rPr>
                <w:sz w:val="18"/>
                <w:szCs w:val="18"/>
                <w:u w:val="single"/>
              </w:rPr>
            </w:r>
            <w:r>
              <w:rPr>
                <w:sz w:val="18"/>
                <w:szCs w:val="18"/>
                <w:u w:val="single"/>
              </w:rPr>
            </w:r>
          </w:p>
          <w:p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наименование организации, юридический адрес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Оценка сформированности ПК через виды и качество выполнения работ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ind w:right="4796"/>
              <w:jc w:val="center"/>
              <w:spacing w:before="6" w:line="318" w:lineRule="auto"/>
              <w:rPr>
                <w:b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  <w:sz w:val="28"/>
                <w:szCs w:val="28"/>
              </w:rPr>
            </w:r>
            <w:r>
              <w:rPr>
                <w:b/>
                <w:color w:val="000000"/>
                <w:sz w:val="28"/>
                <w:szCs w:val="28"/>
              </w:rPr>
            </w:r>
            <w:r>
              <w:rPr>
                <w:b/>
                <w:color w:val="000000"/>
                <w:sz w:val="28"/>
                <w:szCs w:val="28"/>
              </w:rPr>
            </w:r>
          </w:p>
        </w:tc>
      </w:tr>
      <w:tr>
        <w:tblPrEx/>
        <w:trPr>
          <w:trHeight w:val="8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ind w:left="112" w:right="95"/>
              <w:spacing w:before="1" w:line="235" w:lineRule="auto"/>
              <w:tabs>
                <w:tab w:val="left" w:pos="1033" w:leader="none"/>
                <w:tab w:val="left" w:pos="1513" w:leader="none"/>
                <w:tab w:val="left" w:pos="2491" w:leader="none"/>
              </w:tabs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профессиональной компетенции, освоенной обучающимся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ind w:left="112"/>
              <w:spacing w:before="1" w:line="264" w:lineRule="auto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4" w:type="dxa"/>
            <w:textDirection w:val="lrTb"/>
            <w:noWrap w:val="false"/>
          </w:tcPr>
          <w:p>
            <w:pPr>
              <w:ind w:left="108" w:right="98"/>
              <w:jc w:val="both"/>
              <w:spacing w:before="1" w:line="235" w:lineRule="auto"/>
              <w:tabs>
                <w:tab w:val="left" w:pos="1827" w:leader="none"/>
                <w:tab w:val="left" w:pos="2393" w:leader="none"/>
                <w:tab w:val="left" w:pos="3364" w:leader="none"/>
              </w:tabs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Вид  работ, выполненных обучающимися во время практики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ind w:left="108" w:right="98"/>
              <w:spacing w:before="1" w:line="235" w:lineRule="auto"/>
              <w:tabs>
                <w:tab w:val="left" w:pos="1827" w:leader="none"/>
                <w:tab w:val="left" w:pos="2393" w:leader="none"/>
                <w:tab w:val="left" w:pos="3364" w:leader="none"/>
              </w:tabs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Качество выполнения в соответствии с технологией и (или) требованиями и (или) требованиями организации (соответствует, частично соответствует, не соответствует)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16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ind w:left="20"/>
              <w:tabs>
                <w:tab w:val="left" w:pos="1080" w:leader="none"/>
                <w:tab w:val="left" w:pos="2140" w:leader="none"/>
                <w:tab w:val="left" w:pos="3200" w:leader="none"/>
                <w:tab w:val="left" w:pos="4260" w:leader="none"/>
                <w:tab w:val="left" w:pos="5320" w:leader="none"/>
                <w:tab w:val="left" w:pos="6380" w:leader="none"/>
                <w:tab w:val="left" w:pos="74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ОК-01-ОК-09, </w:t>
            </w:r>
            <w:r>
              <w:rPr>
                <w:sz w:val="20"/>
                <w:szCs w:val="20"/>
              </w:rPr>
              <w:t xml:space="preserve">ПК 3.1.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4" w:type="dxa"/>
            <w:textDirection w:val="lrTb"/>
            <w:noWrap w:val="false"/>
          </w:tcPr>
          <w:p>
            <w:pPr>
              <w:tabs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практический опыт: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выполнять построение заданных моделей программного средства с помощью графического языка (обратное проектирование);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tabs>
                <w:tab w:val="left" w:pos="1832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уметь: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работать с проектной документацией, разработанной с использованием графических языков спецификаций.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Частично</w:t>
            </w:r>
            <w:r>
              <w:rPr>
                <w:color w:val="000000"/>
                <w:sz w:val="16"/>
                <w:szCs w:val="16"/>
              </w:rPr>
              <w:t xml:space="preserve">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Не</w:t>
            </w:r>
            <w:r>
              <w:rPr>
                <w:color w:val="000000"/>
                <w:sz w:val="16"/>
                <w:szCs w:val="16"/>
              </w:rPr>
              <w:t xml:space="preserve">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</w:tc>
      </w:tr>
      <w:tr>
        <w:tblPrEx/>
        <w:trPr>
          <w:trHeight w:val="6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ОК-01-ОК-09, ПК 3.2.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4" w:type="dxa"/>
            <w:textDirection w:val="lrTb"/>
            <w:noWrap w:val="false"/>
          </w:tcPr>
          <w:p>
            <w:pPr>
              <w:tabs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практический опыт: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определять характеристики программного продукта и автоматизированных средств, измерять характеристики программного проекта;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tabs>
                <w:tab w:val="left" w:pos="1832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уметь: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применять стандартные метрики по прогнозированию затрат, сроков и качества, 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определять метрики программного кода специализированными средствами.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Частично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Не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</w:tc>
      </w:tr>
      <w:tr>
        <w:tblPrEx/>
        <w:trPr>
          <w:trHeight w:val="15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ОК-01-ОК-09, ПК 3.3.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4" w:type="dxa"/>
            <w:textDirection w:val="lrTb"/>
            <w:noWrap w:val="false"/>
          </w:tcPr>
          <w:p>
            <w:pPr>
              <w:tabs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практический опыт: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оптимизировать программный код с использованием специализированных программных средств, использовать основные методологии процессов разработки программного обеспечения.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tabs>
                <w:tab w:val="left" w:pos="1832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уметь: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ind w:left="34"/>
              <w:jc w:val="both"/>
              <w:tabs>
                <w:tab w:val="left" w:pos="176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выполнять оптимизацию программного кода с использованием специализированных программных средств, использовать методы и технологии тестирования и 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ревьюирования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кода и проектной документации.</w:t>
            </w: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</w:p>
          <w:p>
            <w:pPr>
              <w:ind w:left="34"/>
              <w:jc w:val="both"/>
              <w:tabs>
                <w:tab w:val="left" w:pos="176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</w:p>
          <w:p>
            <w:pPr>
              <w:ind w:left="34"/>
              <w:jc w:val="both"/>
              <w:tabs>
                <w:tab w:val="left" w:pos="176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Частично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rPr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Не соответствует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blPrEx/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ОК-01-ОК-09, ПК 3.4.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4" w:type="dxa"/>
            <w:textDirection w:val="lrTb"/>
            <w:noWrap w:val="false"/>
          </w:tcPr>
          <w:p>
            <w:pPr>
              <w:tabs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практический опыт: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jc w:val="both"/>
              <w:tabs>
                <w:tab w:val="left" w:pos="183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обосновывать выбор методологии и средств разработки программного обеспечения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tabs>
                <w:tab w:val="left" w:pos="1832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уметь: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ind w:left="34"/>
              <w:tabs>
                <w:tab w:val="left" w:pos="176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проводить сравнительный анализ программных продуктов, проводить сравнительный анализ 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средств разработки программных продуктов, разграничивать подходы к менеджменту программных проектов.</w:t>
            </w:r>
            <w:r>
              <w:rPr>
                <w:color w:val="000000"/>
                <w:sz w:val="20"/>
                <w:szCs w:val="20"/>
                <w:highlight w:val="white"/>
              </w:rPr>
            </w:r>
            <w:r>
              <w:rPr>
                <w:color w:val="000000"/>
                <w:sz w:val="20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spacing w:line="360" w:lineRule="auto"/>
              <w:rPr>
                <w:color w:val="000000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Частично соответствует</w:t>
            </w:r>
            <w:r>
              <w:rPr>
                <w:color w:val="000000"/>
                <w:sz w:val="16"/>
                <w:szCs w:val="16"/>
              </w:rPr>
            </w:r>
            <w:r>
              <w:rPr>
                <w:color w:val="000000"/>
                <w:sz w:val="16"/>
                <w:szCs w:val="16"/>
              </w:rPr>
            </w:r>
          </w:p>
          <w:p>
            <w:pPr>
              <w:ind w:firstLine="146"/>
              <w:rPr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⃞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  Не соответствует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Дата «___» ____________ 202__г.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практики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______________/</w:t>
      </w:r>
      <w:r>
        <w:rPr>
          <w:color w:val="000000"/>
          <w:sz w:val="20"/>
          <w:szCs w:val="20"/>
          <w:u w:val="single"/>
        </w:rPr>
        <w:t xml:space="preserve">                                                                               Журавлёв Д.Г.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 w:right="140"/>
        <w:tabs>
          <w:tab w:val="left" w:pos="7275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(подпись)                             (ФИО, должность)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 w:right="140"/>
        <w:tabs>
          <w:tab w:val="left" w:pos="7275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/>
        <w:tabs>
          <w:tab w:val="left" w:pos="1306" w:leader="none"/>
          <w:tab w:val="left" w:pos="2426" w:leader="none"/>
          <w:tab w:val="left" w:pos="3191" w:leader="none"/>
          <w:tab w:val="left" w:pos="5139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Председатель ЦМК                   ______________/_______________Горелько Е.А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106" w:right="140"/>
        <w:tabs>
          <w:tab w:val="left" w:pos="7275" w:leader="none"/>
        </w:tabs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(подпись)                             (ФИО, должность)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r/>
      <w:r/>
    </w:p>
    <w:sectPr>
      <w:footnotePr/>
      <w:endnotePr/>
      <w:type w:val="nextPage"/>
      <w:pgSz w:w="11906" w:h="16838" w:orient="portrait"/>
      <w:pgMar w:top="244" w:right="851" w:bottom="284" w:left="709" w:header="0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Tahoma">
    <w:panose1 w:val="020B0506030602030204"/>
  </w:font>
  <w:font w:name="Lohit Devanagari">
    <w:panose1 w:val="020B0600000000000000"/>
  </w:font>
  <w:font w:name="Georgia">
    <w:panose1 w:val="0204050305040603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ru-RU" w:eastAsia="ru-RU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7"/>
    <w:link w:val="821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7"/>
    <w:link w:val="822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7"/>
    <w:link w:val="823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7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7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7"/>
    <w:link w:val="826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basedOn w:val="827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0"/>
    <w:next w:val="820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basedOn w:val="827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0"/>
    <w:next w:val="820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basedOn w:val="827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No Spacing"/>
    <w:uiPriority w:val="1"/>
    <w:qFormat/>
    <w:pPr>
      <w:spacing w:before="0" w:after="0" w:line="240" w:lineRule="auto"/>
    </w:pPr>
  </w:style>
  <w:style w:type="character" w:styleId="667">
    <w:name w:val="Title Char"/>
    <w:basedOn w:val="827"/>
    <w:link w:val="831"/>
    <w:uiPriority w:val="10"/>
    <w:rPr>
      <w:sz w:val="48"/>
      <w:szCs w:val="48"/>
    </w:rPr>
  </w:style>
  <w:style w:type="character" w:styleId="668">
    <w:name w:val="Subtitle Char"/>
    <w:basedOn w:val="827"/>
    <w:link w:val="846"/>
    <w:uiPriority w:val="11"/>
    <w:rPr>
      <w:sz w:val="24"/>
      <w:szCs w:val="24"/>
    </w:rPr>
  </w:style>
  <w:style w:type="paragraph" w:styleId="669">
    <w:name w:val="Quote"/>
    <w:basedOn w:val="820"/>
    <w:next w:val="820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0"/>
    <w:next w:val="820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character" w:styleId="673">
    <w:name w:val="Header Char"/>
    <w:basedOn w:val="827"/>
    <w:link w:val="842"/>
    <w:uiPriority w:val="99"/>
  </w:style>
  <w:style w:type="character" w:styleId="674">
    <w:name w:val="Footer Char"/>
    <w:basedOn w:val="827"/>
    <w:link w:val="843"/>
    <w:uiPriority w:val="99"/>
  </w:style>
  <w:style w:type="character" w:styleId="675">
    <w:name w:val="Caption Char"/>
    <w:basedOn w:val="837"/>
    <w:link w:val="843"/>
    <w:uiPriority w:val="99"/>
  </w:style>
  <w:style w:type="table" w:styleId="676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0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1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2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3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4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5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7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7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22">
    <w:name w:val="Heading 2"/>
    <w:basedOn w:val="820"/>
    <w:next w:val="82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3">
    <w:name w:val="Heading 3"/>
    <w:basedOn w:val="820"/>
    <w:next w:val="82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4">
    <w:name w:val="Heading 4"/>
    <w:basedOn w:val="820"/>
    <w:next w:val="82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25">
    <w:name w:val="Heading 5"/>
    <w:basedOn w:val="820"/>
    <w:next w:val="820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26">
    <w:name w:val="Heading 6"/>
    <w:basedOn w:val="820"/>
    <w:next w:val="82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7" w:default="1">
    <w:name w:val="Default Paragraph Font"/>
    <w:uiPriority w:val="1"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table" w:styleId="83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1">
    <w:name w:val="Title"/>
    <w:basedOn w:val="820"/>
    <w:next w:val="835"/>
    <w:uiPriority w:val="10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character" w:styleId="832" w:customStyle="1">
    <w:name w:val="Верхний колонтитул Знак"/>
    <w:basedOn w:val="827"/>
    <w:link w:val="842"/>
    <w:uiPriority w:val="99"/>
    <w:qFormat/>
    <w:rPr>
      <w:rFonts w:ascii="Times New Roman" w:hAnsi="Times New Roman" w:eastAsia="Times New Roman" w:cs="Times New Roman"/>
      <w:lang w:val="ru-RU"/>
    </w:rPr>
  </w:style>
  <w:style w:type="character" w:styleId="833" w:customStyle="1">
    <w:name w:val="Нижний колонтитул Знак"/>
    <w:basedOn w:val="827"/>
    <w:link w:val="843"/>
    <w:uiPriority w:val="99"/>
    <w:qFormat/>
    <w:rPr>
      <w:rFonts w:ascii="Times New Roman" w:hAnsi="Times New Roman" w:eastAsia="Times New Roman" w:cs="Times New Roman"/>
      <w:lang w:val="ru-RU"/>
    </w:rPr>
  </w:style>
  <w:style w:type="character" w:styleId="834" w:customStyle="1">
    <w:name w:val="Текст выноски Знак"/>
    <w:basedOn w:val="827"/>
    <w:link w:val="844"/>
    <w:uiPriority w:val="99"/>
    <w:semiHidden/>
    <w:qFormat/>
    <w:rPr>
      <w:rFonts w:ascii="Tahoma" w:hAnsi="Tahoma" w:eastAsia="Times New Roman" w:cs="Tahoma"/>
      <w:sz w:val="16"/>
      <w:szCs w:val="16"/>
      <w:lang w:val="ru-RU"/>
    </w:rPr>
  </w:style>
  <w:style w:type="paragraph" w:styleId="835">
    <w:name w:val="Body Text"/>
    <w:basedOn w:val="820"/>
    <w:uiPriority w:val="1"/>
    <w:qFormat/>
    <w:pPr>
      <w:ind w:right="306"/>
      <w:jc w:val="right"/>
      <w:spacing w:before="1"/>
    </w:pPr>
    <w:rPr>
      <w:sz w:val="18"/>
      <w:szCs w:val="18"/>
    </w:rPr>
  </w:style>
  <w:style w:type="paragraph" w:styleId="836">
    <w:name w:val="List"/>
    <w:basedOn w:val="835"/>
    <w:rPr>
      <w:rFonts w:cs="Lohit Devanagari"/>
    </w:rPr>
  </w:style>
  <w:style w:type="paragraph" w:styleId="837">
    <w:name w:val="Caption"/>
    <w:basedOn w:val="82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38">
    <w:name w:val="index heading"/>
    <w:basedOn w:val="820"/>
    <w:qFormat/>
    <w:pPr>
      <w:suppressLineNumbers/>
    </w:pPr>
    <w:rPr>
      <w:rFonts w:cs="Lohit Devanagari"/>
    </w:rPr>
  </w:style>
  <w:style w:type="paragraph" w:styleId="839">
    <w:name w:val="List Paragraph"/>
    <w:basedOn w:val="820"/>
    <w:uiPriority w:val="1"/>
    <w:qFormat/>
  </w:style>
  <w:style w:type="paragraph" w:styleId="840" w:customStyle="1">
    <w:name w:val="Table Paragraph"/>
    <w:basedOn w:val="820"/>
    <w:uiPriority w:val="1"/>
    <w:qFormat/>
  </w:style>
  <w:style w:type="paragraph" w:styleId="841" w:customStyle="1">
    <w:name w:val="Колонтитул"/>
    <w:basedOn w:val="820"/>
    <w:qFormat/>
  </w:style>
  <w:style w:type="paragraph" w:styleId="842">
    <w:name w:val="Header"/>
    <w:basedOn w:val="820"/>
    <w:link w:val="832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43">
    <w:name w:val="Footer"/>
    <w:basedOn w:val="820"/>
    <w:link w:val="833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44">
    <w:name w:val="Balloon Text"/>
    <w:basedOn w:val="820"/>
    <w:link w:val="834"/>
    <w:uiPriority w:val="99"/>
    <w:semiHidden/>
    <w:unhideWhenUsed/>
    <w:qFormat/>
    <w:rPr>
      <w:rFonts w:ascii="Tahoma" w:hAnsi="Tahoma" w:cs="Tahoma"/>
      <w:sz w:val="16"/>
      <w:szCs w:val="16"/>
    </w:rPr>
  </w:style>
  <w:style w:type="table" w:styleId="845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6">
    <w:name w:val="Subtitle"/>
    <w:basedOn w:val="820"/>
    <w:next w:val="820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47" w:customStyle="1">
    <w:name w:val="StGen0"/>
    <w:basedOn w:val="845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kOHQGl9BcCOIccWfRitj5BSsw==">CgMxLjA4AHIhMW5zZGRhVEd4NmpOaExOSk1WaHhDN0t3Z3E3bEdNN2tY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mnl</dc:creator>
  <cp:lastModifiedBy>llarf12</cp:lastModifiedBy>
  <cp:revision>12</cp:revision>
  <dcterms:created xsi:type="dcterms:W3CDTF">2024-01-10T10:05:00Z</dcterms:created>
  <dcterms:modified xsi:type="dcterms:W3CDTF">2025-06-07T07:26:27Z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2013-11-13T00:00:00Z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2022-03-21T00:00:00Z</vt:lpwstr>
  </property>
</Properties>
</file>