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0" w:before="3600" w:lineRule="auto"/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PLAN DE GESTIÓN DE LA CONFIGURACIÓN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Grupo:</w:t>
      </w:r>
    </w:p>
    <w:p w:rsidR="00000000" w:rsidDel="00000000" w:rsidP="00000000" w:rsidRDefault="00000000" w:rsidRPr="00000000" w14:paraId="00000003">
      <w:pPr>
        <w:spacing w:after="4440" w:lineRule="auto"/>
        <w:jc w:val="center"/>
        <w:rPr>
          <w:rFonts w:ascii="Arial" w:cs="Arial" w:eastAsia="Arial" w:hAnsi="Arial"/>
          <w:b w:val="1"/>
          <w:color w:val="a6a6a6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a6a6a6"/>
          <w:sz w:val="36"/>
          <w:szCs w:val="36"/>
          <w:rtl w:val="0"/>
        </w:rPr>
        <w:t xml:space="preserve">Bakati Group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Versión 12.0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Situación de la empresa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Bakati Group es una empresa que brinda soluciones tecnológicas a medida de acuerdo a la necesidad de sus múltiples clientes, actualmente tenemos 2 proyectos en desarrollo y un proyecto en mantenimiento.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Nuestro objetivo es el de satisfacer las necesidades que el cambiante y competitivo mercado demanda en la actualidad, aportando soluciones que no se circunscriben únicamente al desarrollo del software, sino que, con un enfoque más amplio, permitan a nuestros clientes optimizar su gestión de procesos, punto clave de la competitividad.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1.2. Propósito del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propósito de este plan es buscar que la gestión de la configuración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Bakati Group. Y finalmente, permitir que la gestión de configuración facilite el desarrollo y mantenimiento de nuestros productos, aportando información precisa para valorar el impacto de los cambios solicitados y reduciendo el tiempo de implementación de un cambio, tanto evolutivo como correctivo.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Gestión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de la SCM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Roles o responsabilidades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8.0" w:type="dxa"/>
        <w:jc w:val="left"/>
        <w:tblInd w:w="0.0" w:type="dxa"/>
        <w:tblBorders>
          <w:top w:color="888888" w:space="0" w:sz="6" w:val="single"/>
          <w:left w:color="888888" w:space="0" w:sz="6" w:val="single"/>
          <w:bottom w:color="888888" w:space="0" w:sz="6" w:val="single"/>
          <w:right w:color="888888" w:space="0" w:sz="6" w:val="single"/>
          <w:insideH w:color="888888" w:space="0" w:sz="6" w:val="single"/>
          <w:insideV w:color="888888" w:space="0" w:sz="6" w:val="single"/>
        </w:tblBorders>
        <w:tblLayout w:type="fixed"/>
        <w:tblLook w:val="0600"/>
      </w:tblPr>
      <w:tblGrid>
        <w:gridCol w:w="1418"/>
        <w:gridCol w:w="5445"/>
        <w:gridCol w:w="1635"/>
        <w:tblGridChange w:id="0">
          <w:tblGrid>
            <w:gridCol w:w="1418"/>
            <w:gridCol w:w="5445"/>
            <w:gridCol w:w="163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Georgia" w:cs="Georgia" w:eastAsia="Georgia" w:hAnsi="Georgia"/>
                <w:b w:val="1"/>
                <w:color w:val="3e4349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3e4349"/>
                <w:sz w:val="26"/>
                <w:szCs w:val="26"/>
                <w:rtl w:val="0"/>
              </w:rPr>
              <w:t xml:space="preserve">Roles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Georgia" w:cs="Georgia" w:eastAsia="Georgia" w:hAnsi="Georgia"/>
                <w:b w:val="1"/>
                <w:color w:val="3e4349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3e4349"/>
                <w:sz w:val="26"/>
                <w:szCs w:val="26"/>
                <w:rtl w:val="0"/>
              </w:rPr>
              <w:t xml:space="preserve">Responsabilidades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Georgia" w:cs="Georgia" w:eastAsia="Georgia" w:hAnsi="Georgia"/>
                <w:b w:val="1"/>
                <w:color w:val="3e4349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3e4349"/>
                <w:sz w:val="26"/>
                <w:szCs w:val="26"/>
                <w:rtl w:val="0"/>
              </w:rPr>
              <w:t xml:space="preserve">Cantidad</w:t>
            </w:r>
          </w:p>
        </w:tc>
      </w:tr>
      <w:tr>
        <w:trPr>
          <w:cantSplit w:val="0"/>
          <w:trHeight w:val="778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Gestor de configuración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R="00000000" w:rsidDel="00000000" w:rsidP="00000000" w:rsidRDefault="00000000" w:rsidRPr="00000000" w14:paraId="00000019">
            <w:pPr>
              <w:spacing w:line="335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Gestionar la planificación, identificación, control, seguimiento y auditoría de todos los elementos de configuración en la base de datos de configuración.</w:t>
            </w:r>
          </w:p>
          <w:p w:rsidR="00000000" w:rsidDel="00000000" w:rsidP="00000000" w:rsidRDefault="00000000" w:rsidRPr="00000000" w14:paraId="0000001A">
            <w:pPr>
              <w:spacing w:line="335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Desarrollar el plan de gestión de configuración.</w:t>
            </w:r>
          </w:p>
          <w:p w:rsidR="00000000" w:rsidDel="00000000" w:rsidP="00000000" w:rsidRDefault="00000000" w:rsidRPr="00000000" w14:paraId="0000001B">
            <w:pPr>
              <w:spacing w:line="335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Promover el uso efectivo de la base de datos de configuración dentro de la organización.</w:t>
            </w:r>
          </w:p>
          <w:p w:rsidR="00000000" w:rsidDel="00000000" w:rsidP="00000000" w:rsidRDefault="00000000" w:rsidRPr="00000000" w14:paraId="0000001C">
            <w:pPr>
              <w:spacing w:line="335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Monitorear y reportar los cambios no autorizados sobre los elementos de configuración.</w:t>
            </w:r>
          </w:p>
          <w:p w:rsidR="00000000" w:rsidDel="00000000" w:rsidP="00000000" w:rsidRDefault="00000000" w:rsidRPr="00000000" w14:paraId="0000001D">
            <w:pPr>
              <w:spacing w:line="335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Asegurar la consistencia e integridad de los datos de la base de datos de configuración a través de la ejecución de procedimientos de verificación y auditoría.</w:t>
            </w:r>
          </w:p>
          <w:p w:rsidR="00000000" w:rsidDel="00000000" w:rsidP="00000000" w:rsidRDefault="00000000" w:rsidRPr="00000000" w14:paraId="0000001E">
            <w:pPr>
              <w:spacing w:line="335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Liderar las actividades de evaluación del proceso: revisar tipos de elementos de configuración, relaciones, atributos y valores asociados, estructura de la base de datos, derechos de acceso.</w:t>
            </w:r>
          </w:p>
          <w:p w:rsidR="00000000" w:rsidDel="00000000" w:rsidP="00000000" w:rsidRDefault="00000000" w:rsidRPr="00000000" w14:paraId="0000001F">
            <w:pPr>
              <w:spacing w:line="335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Aprobar cambios estructurales en la base de datos de configuración.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R="00000000" w:rsidDel="00000000" w:rsidP="00000000" w:rsidRDefault="00000000" w:rsidRPr="00000000" w14:paraId="00000020">
            <w:pPr>
              <w:spacing w:line="335" w:lineRule="auto"/>
              <w:jc w:val="center"/>
              <w:rPr>
                <w:rFonts w:ascii="Open Sans" w:cs="Open Sans" w:eastAsia="Open Sans" w:hAnsi="Open Sans"/>
                <w:sz w:val="38"/>
                <w:szCs w:val="3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38"/>
                <w:szCs w:val="38"/>
                <w:rtl w:val="0"/>
              </w:rPr>
              <w:t xml:space="preserve">1</w:t>
            </w:r>
          </w:p>
        </w:tc>
      </w:tr>
      <w:tr>
        <w:trPr>
          <w:cantSplit w:val="0"/>
          <w:trHeight w:val="564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Bibliotecario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R="00000000" w:rsidDel="00000000" w:rsidP="00000000" w:rsidRDefault="00000000" w:rsidRPr="00000000" w14:paraId="00000022">
            <w:pPr>
              <w:spacing w:line="335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Asegurar que los elementos de configuración de los que es responsable están registrados en la base de datos de configuración con el estado y datos de configuración apropiados.</w:t>
            </w:r>
          </w:p>
          <w:p w:rsidR="00000000" w:rsidDel="00000000" w:rsidP="00000000" w:rsidRDefault="00000000" w:rsidRPr="00000000" w14:paraId="00000023">
            <w:pPr>
              <w:spacing w:line="335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Verificar que los cambios sobre los elementos de configuración siguen el proceso de cambios definido.</w:t>
            </w:r>
          </w:p>
          <w:p w:rsidR="00000000" w:rsidDel="00000000" w:rsidP="00000000" w:rsidRDefault="00000000" w:rsidRPr="00000000" w14:paraId="00000024">
            <w:pPr>
              <w:spacing w:line="335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Asegurar la idoneidad e integridad de los elementos de configuración de los que es responsable.</w:t>
            </w:r>
          </w:p>
          <w:p w:rsidR="00000000" w:rsidDel="00000000" w:rsidP="00000000" w:rsidRDefault="00000000" w:rsidRPr="00000000" w14:paraId="00000025">
            <w:pPr>
              <w:spacing w:line="335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Trabajar conjuntamente con el gestor de configuración para identificar las causas de cualquier discrepancia identificada en las auditorías e implementar las acciones correctivas.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R="00000000" w:rsidDel="00000000" w:rsidP="00000000" w:rsidRDefault="00000000" w:rsidRPr="00000000" w14:paraId="00000026">
            <w:pPr>
              <w:spacing w:line="335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38"/>
                <w:szCs w:val="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Comité del control de cambios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R="00000000" w:rsidDel="00000000" w:rsidP="00000000" w:rsidRDefault="00000000" w:rsidRPr="00000000" w14:paraId="00000028">
            <w:pPr>
              <w:spacing w:line="335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Asegurar que todos los elementos de configuración están registrados de forma adecuada en la base de datos de configuración.</w:t>
            </w:r>
          </w:p>
          <w:p w:rsidR="00000000" w:rsidDel="00000000" w:rsidP="00000000" w:rsidRDefault="00000000" w:rsidRPr="00000000" w14:paraId="00000029">
            <w:pPr>
              <w:spacing w:line="335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Asegurar la consistencia e integridad de los datos de la base de datos de configuración y la estructura del sistema a través de la ejecución de procedimientos de verificación y auditoría.</w:t>
            </w:r>
          </w:p>
          <w:p w:rsidR="00000000" w:rsidDel="00000000" w:rsidP="00000000" w:rsidRDefault="00000000" w:rsidRPr="00000000" w14:paraId="0000002A">
            <w:pPr>
              <w:spacing w:line="335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Reportar cualquier discrepancia o no conformidad en los elementos de configuración al gestor de configuración.</w:t>
            </w:r>
          </w:p>
          <w:p w:rsidR="00000000" w:rsidDel="00000000" w:rsidP="00000000" w:rsidRDefault="00000000" w:rsidRPr="00000000" w14:paraId="0000002B">
            <w:pPr>
              <w:spacing w:line="335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Participar en la mejora continua del proceso de gestión de configuración.</w:t>
            </w:r>
          </w:p>
          <w:p w:rsidR="00000000" w:rsidDel="00000000" w:rsidP="00000000" w:rsidRDefault="00000000" w:rsidRPr="00000000" w14:paraId="0000002C">
            <w:pPr>
              <w:spacing w:line="335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Evaluar el impacto y riesgo de los cambios.</w:t>
            </w:r>
          </w:p>
          <w:p w:rsidR="00000000" w:rsidDel="00000000" w:rsidP="00000000" w:rsidRDefault="00000000" w:rsidRPr="00000000" w14:paraId="0000002D">
            <w:pPr>
              <w:spacing w:line="335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Asegurar que los responsables de los elementos de configuración actualizan los históricos de estos elementos con los cambios implementados.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R="00000000" w:rsidDel="00000000" w:rsidP="00000000" w:rsidRDefault="00000000" w:rsidRPr="00000000" w14:paraId="0000002E">
            <w:pPr>
              <w:spacing w:line="335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38"/>
                <w:szCs w:val="3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Herramientas (Benchmarking) (Mínimo 3 herramientas)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Ind w:w="0.0" w:type="dxa"/>
        <w:tblLayout w:type="fixed"/>
        <w:tblLook w:val="0400"/>
      </w:tblPr>
      <w:tblGrid>
        <w:gridCol w:w="2252"/>
        <w:gridCol w:w="1263"/>
        <w:gridCol w:w="1160"/>
        <w:gridCol w:w="2104"/>
        <w:gridCol w:w="1705"/>
        <w:tblGridChange w:id="0">
          <w:tblGrid>
            <w:gridCol w:w="2252"/>
            <w:gridCol w:w="1263"/>
            <w:gridCol w:w="1160"/>
            <w:gridCol w:w="2104"/>
            <w:gridCol w:w="1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Mercurial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Git Kraken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Team Foundation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SourceOffSite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Curva de Aprendizaje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Versión gratuita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Versión de paga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Multiplataforma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Administrar Grupos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Interfaz intuitiva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Diagrama de arquitectura de la herramienta elegida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Arquitectura de GitKraken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399730" cy="659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399730" cy="4191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Actividades de la SCM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Identificación</w:t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Definición de nomenclaturas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Acrónimo del proyecto de Software: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Sistema de Comercio Electrónico (SCELS)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Nomenclatura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1: </w:t>
      </w:r>
      <w:r w:rsidDel="00000000" w:rsidR="00000000" w:rsidRPr="00000000">
        <w:rPr>
          <w:rFonts w:ascii="Arial" w:cs="Arial" w:eastAsia="Arial" w:hAnsi="Arial"/>
          <w:rtl w:val="0"/>
        </w:rPr>
        <w:t xml:space="preserve">El ítem pertenece a un proyecto en particular y no existe ambigüedad.</w:t>
      </w:r>
    </w:p>
    <w:tbl>
      <w:tblPr>
        <w:tblStyle w:val="Table3"/>
        <w:tblW w:w="8504.0" w:type="dxa"/>
        <w:jc w:val="left"/>
        <w:tblInd w:w="0.0" w:type="dxa"/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“ACRONIMO DEL PROYECTO” + “-” + “ACRÓNIMO DEL ITEM” +”.” +EXTENSIÓN</w:t>
            </w:r>
          </w:p>
        </w:tc>
      </w:tr>
    </w:tbl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Ejemplo: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SCELS-PB.xlsx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2: </w:t>
      </w:r>
      <w:r w:rsidDel="00000000" w:rsidR="00000000" w:rsidRPr="00000000">
        <w:rPr>
          <w:rFonts w:ascii="Arial" w:cs="Arial" w:eastAsia="Arial" w:hAnsi="Arial"/>
          <w:rtl w:val="0"/>
        </w:rPr>
        <w:t xml:space="preserve">El ítem pertenece a un proyecto en particular y existe ambigüedad.</w:t>
      </w:r>
    </w:p>
    <w:tbl>
      <w:tblPr>
        <w:tblStyle w:val="Table4"/>
        <w:tblW w:w="8504.0" w:type="dxa"/>
        <w:jc w:val="left"/>
        <w:tblInd w:w="0.0" w:type="dxa"/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“ACRÓNIMO DEL PROYECTO” + “-” + “ACRÓNIMO DEL ÍTEM EXTENDIDO (SIGUIENTE LETRA)" +”.” + EXTENSIÓN 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Ejemplo: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SCELS-DAREQ.docx</w:t>
        <w:tab/>
        <w:t xml:space="preserve"> SCELS-DAREP.docx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3: </w:t>
      </w:r>
      <w:r w:rsidDel="00000000" w:rsidR="00000000" w:rsidRPr="00000000">
        <w:rPr>
          <w:rFonts w:ascii="Arial" w:cs="Arial" w:eastAsia="Arial" w:hAnsi="Arial"/>
          <w:rtl w:val="0"/>
        </w:rPr>
        <w:t xml:space="preserve">El ítem no pertenece a un proyecto en particular y no existe ambigüedad.</w:t>
      </w:r>
    </w:p>
    <w:tbl>
      <w:tblPr>
        <w:tblStyle w:val="Table5"/>
        <w:tblW w:w="8504.0" w:type="dxa"/>
        <w:jc w:val="left"/>
        <w:tblInd w:w="0.0" w:type="dxa"/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“ACRÓNIMO DEL ÍTEM” +”.” +EXTENSIÓN</w:t>
            </w:r>
          </w:p>
        </w:tc>
      </w:tr>
    </w:tbl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Ejemplo: PGC.docx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4: </w:t>
      </w:r>
      <w:r w:rsidDel="00000000" w:rsidR="00000000" w:rsidRPr="00000000">
        <w:rPr>
          <w:rFonts w:ascii="Arial" w:cs="Arial" w:eastAsia="Arial" w:hAnsi="Arial"/>
          <w:rtl w:val="0"/>
        </w:rPr>
        <w:t xml:space="preserve">El ítem no pertenece a un proyecto en particular y existe ambigüedad.</w:t>
      </w:r>
    </w:p>
    <w:tbl>
      <w:tblPr>
        <w:tblStyle w:val="Table6"/>
        <w:tblW w:w="8504.0" w:type="dxa"/>
        <w:jc w:val="left"/>
        <w:tblInd w:w="0.0" w:type="dxa"/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“ACRÓNIMO DEL ÍTEM EXTENDIDO (SIGUIENTE LETRA)" +”.” + EXTENSIÓN 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Ejemplo: PGCONF.docx</w:t>
        <w:tab/>
        <w:t xml:space="preserve">PGCONT.docx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Inventario de ítems</w:t>
      </w:r>
    </w:p>
    <w:p w:rsidR="00000000" w:rsidDel="00000000" w:rsidP="00000000" w:rsidRDefault="00000000" w:rsidRPr="00000000" w14:paraId="0000007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Inventario de ítems del proyecto Sistema de Comercio Electrónico para Lambda Store (SCELS).</w:t>
      </w:r>
    </w:p>
    <w:p w:rsidR="00000000" w:rsidDel="00000000" w:rsidP="00000000" w:rsidRDefault="00000000" w:rsidRPr="00000000" w14:paraId="0000007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3.999999999998" w:type="dxa"/>
        <w:jc w:val="center"/>
        <w:tblLayout w:type="fixed"/>
        <w:tblLook w:val="0400"/>
      </w:tblPr>
      <w:tblGrid>
        <w:gridCol w:w="1322"/>
        <w:gridCol w:w="3052"/>
        <w:gridCol w:w="1694"/>
        <w:gridCol w:w="1268"/>
        <w:gridCol w:w="1158"/>
        <w:tblGridChange w:id="0">
          <w:tblGrid>
            <w:gridCol w:w="1322"/>
            <w:gridCol w:w="3052"/>
            <w:gridCol w:w="1694"/>
            <w:gridCol w:w="1268"/>
            <w:gridCol w:w="11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(E= Evolución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F= Fuente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S= Soporte)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del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Nomenclatura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Extensión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SCELS-PB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Project Charter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SCELS-PC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Cronograma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SCELS-CP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de Arquitectura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SCELS-DAS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de Plan de Pruebas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SCELS-DPP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SCELS-MU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Acta de conformidad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SCELS-ACP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Documento de Guía de Estilos y Usabilidad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SCELS-DGEU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Documento de Especificación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SCELS-DEBD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Angular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NodeJs 16.15.1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MongoDB 4.0.8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Visual Studio Code 1.689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index.html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app.ts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SCELS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Diseño de la estructura del repositorio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379"/>
        </w:tabs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3909695" cy="4051935"/>
            <wp:effectExtent b="0" l="0" r="0" t="0"/>
            <wp:docPr descr="Diagrama&#10;&#10;Descripción generada automáticamente" id="5" name="image2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405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Nuestro repositorio contiene 4 carpetas principales: CLIENTES, DESARROLLO, DOCUMENTOS Y LÍNEA BASE. 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carpeta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CLIENTES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contiene una carpeta por cada uno de los clientes de Bakati Group. 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carpeta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DESARROLLO </w:t>
      </w:r>
      <w:r w:rsidDel="00000000" w:rsidR="00000000" w:rsidRPr="00000000">
        <w:rPr>
          <w:rFonts w:ascii="Arial" w:cs="Arial" w:eastAsia="Arial" w:hAnsi="Arial"/>
          <w:rtl w:val="0"/>
        </w:rPr>
        <w:t xml:space="preserve">tiene los proyectos SCELS; el cual contiene las carpetas 01 PLANIFICACIÓN Y ANÁLISIS, 02 DISEÑO, 03 DESARROLLO, 4 PRUEBAS y 05 DESPLIEGUE, para el cliente Lambda Store; y el proyecto SPOSR ,para el cliente Ferreterías Rokasa.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carpeta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DOCUMENTOS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contiene a su vez a  la subcarpeta PLAN que contiene la totalidad de los planes que no están relacionados con solo un proyecto en particular.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carpeta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BASE</w:t>
      </w:r>
      <w:r w:rsidDel="00000000" w:rsidR="00000000" w:rsidRPr="00000000">
        <w:rPr>
          <w:rFonts w:ascii="Arial" w:cs="Arial" w:eastAsia="Arial" w:hAnsi="Arial"/>
          <w:rtl w:val="0"/>
        </w:rPr>
        <w:t xml:space="preserve">, es donde encontramos la carpeta SCELS, que contiene 5 carpetas para cada una de las líneas base de nuestro proyecto, una por cada sprint.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Definición de las Líneas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Líneas Base del proyecto Sistema de Comercio Electrónico para Lambda Store (SCELS).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648.000000000001" w:type="dxa"/>
        <w:jc w:val="center"/>
        <w:tblLayout w:type="fixed"/>
        <w:tblLook w:val="0400"/>
      </w:tblPr>
      <w:tblGrid>
        <w:gridCol w:w="2491"/>
        <w:gridCol w:w="5157"/>
        <w:tblGridChange w:id="0">
          <w:tblGrid>
            <w:gridCol w:w="2491"/>
            <w:gridCol w:w="51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de línea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Ítems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Línea Base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Cronograma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Project Charter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Repositorio 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Reporte del primer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Línea Base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de Guía de Estilos y Usabilidad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Mockups y prototipos de las interfaces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de Especificación de la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de Arquitectura del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Reporte del segundo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Línea Base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de Especificación de la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Módulo de página inicial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Módulo de productos y categorías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Módulo de carrito y checkout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Módulo de autenticación de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Módulo de pagos en checkout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Módulo de compras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Módulo de productos y categorías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Módulo de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Módulo de compras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Módulo de panel de administración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Reporte del tercer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Línea Base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de Plan de Pruebas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Reporte del cuarto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Línea Base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de Especificación de la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de Arquitectura del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de Plan de Despliegue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Reporte del quinto sprint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Acta de conformidad del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Control de la Configuración</w:t>
      </w:r>
    </w:p>
    <w:p w:rsidR="00000000" w:rsidDel="00000000" w:rsidP="00000000" w:rsidRDefault="00000000" w:rsidRPr="00000000" w14:paraId="0000010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Estado de la Configuración </w:t>
      </w:r>
    </w:p>
    <w:p w:rsidR="00000000" w:rsidDel="00000000" w:rsidP="00000000" w:rsidRDefault="00000000" w:rsidRPr="00000000" w14:paraId="0000010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Auditoría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de la Configuración </w:t>
      </w:r>
    </w:p>
    <w:p w:rsidR="00000000" w:rsidDel="00000000" w:rsidP="00000000" w:rsidRDefault="00000000" w:rsidRPr="00000000" w14:paraId="0000010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Entrega y Gestión de Release de Software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righ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24E8C"/>
    <w:pPr>
      <w:keepNext w:val="1"/>
      <w:spacing w:after="0" w:line="240" w:lineRule="auto"/>
      <w:jc w:val="right"/>
      <w:outlineLvl w:val="0"/>
    </w:pPr>
    <w:rPr>
      <w:rFonts w:ascii="Times New Roman" w:cs="Times New Roman" w:eastAsia="Times New Roman" w:hAnsi="Times New Roman"/>
      <w:b w:val="1"/>
      <w:bCs w:val="1"/>
      <w:sz w:val="28"/>
      <w:szCs w:val="24"/>
      <w:lang w:eastAsia="es-ES" w:val="es-MX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324E8C"/>
    <w:rPr>
      <w:rFonts w:ascii="Times New Roman" w:cs="Times New Roman" w:eastAsia="Times New Roman" w:hAnsi="Times New Roman"/>
      <w:b w:val="1"/>
      <w:bCs w:val="1"/>
      <w:sz w:val="28"/>
      <w:szCs w:val="24"/>
      <w:lang w:eastAsia="es-ES" w:val="es-MX"/>
    </w:rPr>
  </w:style>
  <w:style w:type="paragraph" w:styleId="Prrafodelista">
    <w:name w:val="List Paragraph"/>
    <w:basedOn w:val="Normal"/>
    <w:uiPriority w:val="34"/>
    <w:qFormat w:val="1"/>
    <w:rsid w:val="00EC463C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ffffff" w:val="clear"/>
    </w:tc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B51C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pHrDb9Sv4VLkAYnrEYmRd3XHw==">AMUW2mWz6g165W9hzWSZvRQpJzHYCfO1+shf9joUxrUAkHwse74L66w26IuGv7EHkP01HfKAKKy5ab1M35L5NnfYzA3rN2f440rgvtazHbeKC2XiufTOd4s=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2022-06-10T17:10:00Z</dcterms:created>
  <dc:creator>Lenis</dc:creator>
</cp:coreProperties>
</file>