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Georgia" w:hAnsi="Georgia"/>
          <w:b/>
          <w:color w:val="111111"/>
          <w:sz w:val="52"/>
        </w:rPr>
        <w:t>OMW — "On My Way" (VIT Vellore)</w:t>
      </w:r>
    </w:p>
    <w:p>
      <w:pPr>
        <w:spacing w:after="400"/>
      </w:pPr>
      <w:r>
        <w:rPr>
          <w:rFonts w:ascii="Arial" w:hAnsi="Arial"/>
          <w:b/>
          <w:color w:val="E25822"/>
          <w:sz w:val="26"/>
        </w:rPr>
        <w:t>Engineering &amp; Implementation Specification: TrustShield "Fraud of the Day" &amp; Real-World GIS Map Engine</w:t>
      </w:r>
    </w:p>
    <w:tbl>
      <w:tblPr>
        <w:tblW w:type="auto" w:w="0"/>
        <w:jc w:val="center"/>
        <w:tblLook w:firstColumn="1" w:firstRow="1" w:lastColumn="0" w:lastRow="0" w:noHBand="0" w:noVBand="1" w:val="04A0"/>
      </w:tblPr>
      <w:tblGrid>
        <w:gridCol w:w="9360"/>
      </w:tblGrid>
      <w:tr>
        <w:tc>
          <w:tcPr>
            <w:tcW w:type="dxa" w:w="9360"/>
            <w:shd w:fill="FAF8F5"/>
            <w:tcMar>
              <w:top w:w="160" w:type="dxa"/>
              <w:bottom w:w="160" w:type="dxa"/>
              <w:left w:w="200" w:type="dxa"/>
              <w:right w:w="200" w:type="dxa"/>
            </w:tcMar>
          </w:tcPr>
          <w:p>
            <w:pPr>
              <w:spacing w:after="40"/>
            </w:pPr>
            <w:r>
              <w:rPr>
                <w:b/>
                <w:color w:val="111111"/>
                <w:sz w:val="19"/>
              </w:rPr>
              <w:t>PROJECT METADATA &amp; INTEGRATION STATUS</w:t>
              <w:br/>
            </w:r>
            <w:r>
              <w:rPr>
                <w:color w:val="71717A"/>
                <w:sz w:val="19"/>
              </w:rPr>
              <w:t>• Target Ecosystem: Vellore Institute of Technology (VIT Vellore Main Campus)</w:t>
              <w:br/>
              <w:t>• Core Features Documented: (1) TrustShield Fraud of the Day/Month System, (2) Real-World Road-Snapped GIS Map Engine</w:t>
              <w:br/>
              <w:t>• Deployment Status: Fully Verified &amp; Production-Ready | Local Preview Port: 3033</w:t>
              <w:br/>
              <w:t>• Stack: Vanilla ES Modules (ES6+), Leaflet.js v1.9.4, OpenStreetMap &amp; Esri World Imagery, Tailwind CSS Tokens</w:t>
            </w:r>
          </w:p>
        </w:tc>
      </w:tr>
    </w:tbl>
    <w:p>
      <w:pPr>
        <w:spacing w:after="240"/>
      </w:pPr>
    </w:p>
    <w:p>
      <w:pPr>
        <w:pStyle w:val="Heading1"/>
        <w:spacing w:before="360" w:after="160"/>
      </w:pPr>
      <w:r>
        <w:rPr>
          <w:rFonts w:ascii="Georgia" w:hAnsi="Georgia"/>
          <w:color w:val="111111"/>
          <w:sz w:val="36"/>
        </w:rPr>
        <w:t>1. Executive Overview &amp; Design Philosophy</w:t>
      </w:r>
    </w:p>
    <w:p>
      <w:pPr>
        <w:spacing w:after="160"/>
      </w:pPr>
      <w:r>
        <w:t>OMW ("On My Way") is a high-density, peer-to-peer campus task and mobility marketplace designed exclusively for students at VIT Vellore. The core value proposition rests on a simple human reality: students are already walking across campus all day long. If a student is walking from Silver Jubilee Tower (SJT) back to Q Block Men's Hostel, they can effortlessly pick up a food delivery at Main Gate or collected photocopies at Technology Tower (TT) Xerox with negligible detour and earn guaranteed delivery credits.</w:t>
      </w:r>
    </w:p>
    <w:p>
      <w:pPr>
        <w:spacing w:after="280"/>
      </w:pPr>
      <w:r>
        <w:t>To transition this platform from a prototype to a defensible, venture-grade consumer product, two critical pillars were engineered:</w:t>
        <w:br/>
        <w:t>1. TrustShield Fraud Gamification System: A sophisticated, 4-stage human-in-the-loop fraud deterrence system featuring the "Fraud of the Day" and "Fraud of the Month" showcase.</w:t>
        <w:br/>
        <w:t>2. Real-World Campus GIS Map Engine (Final Version): A high-precision Leaflet.js interactive map featuring zero watermarks (no API key required), 72 road-snapped GPS waypoints along physical paved campus avenues, and hover-only landmark labels that eliminate clutter.</w:t>
      </w:r>
    </w:p>
    <w:p>
      <w:pPr>
        <w:pStyle w:val="Heading1"/>
        <w:spacing w:before="360" w:after="160"/>
      </w:pPr>
      <w:r>
        <w:rPr>
          <w:rFonts w:ascii="Georgia" w:hAnsi="Georgia"/>
          <w:color w:val="111111"/>
          <w:sz w:val="36"/>
        </w:rPr>
        <w:t>2. Feature 1: "Fraud of the Day / Month" Trust System</w:t>
      </w:r>
    </w:p>
    <w:p>
      <w:pPr>
        <w:spacing w:after="160"/>
      </w:pPr>
      <w:r>
        <w:rPr>
          <w:b/>
        </w:rPr>
        <w:t>2.1 Product Philosophy &amp; Gamification Balance</w:t>
        <w:br/>
      </w:r>
      <w:r>
        <w:t>Campus marketplaces face a unique trust problem: opportunistic collusion, artificial task farming between roommates to boost ratings, and fake handoffs. The "Fraud of the Day / Month" feature was created as a culturally resonant, playful, yet strictly professional deterrence mechanism. It avoids childish meme graphics, skull emojis, or punitive hostility. Instead, it uses an editorial "The New Yorker" style presentation: clean display serif typography, witty yet restrained microcopy ("OMW remembers. Not the route we recommended"), and rigorous factual timelines.</w:t>
      </w:r>
    </w:p>
    <w:tbl>
      <w:tblPr>
        <w:tblW w:type="auto" w:w="0"/>
        <w:jc w:val="center"/>
        <w:tblLook w:firstColumn="1" w:firstRow="1" w:lastColumn="0" w:lastRow="0" w:noHBand="0" w:noVBand="1" w:val="04A0"/>
      </w:tblPr>
      <w:tblGrid>
        <w:gridCol w:w="4680"/>
        <w:gridCol w:w="4680"/>
      </w:tblGrid>
      <w:tr>
        <w:tc>
          <w:tcPr>
            <w:tcW w:type="dxa" w:w="4680"/>
            <w:shd w:fill="111111"/>
            <w:tcMar>
              <w:top w:w="100" w:type="dxa"/>
              <w:bottom w:w="100" w:type="dxa"/>
              <w:left w:w="120" w:type="dxa"/>
              <w:right w:w="120" w:type="dxa"/>
            </w:tcMar>
          </w:tcPr>
          <w:p>
            <w:r>
              <w:rPr>
                <w:b/>
                <w:color w:val="FFFFFF"/>
                <w:sz w:val="20"/>
              </w:rPr>
              <w:t>Stage in Pipeline</w:t>
            </w:r>
          </w:p>
        </w:tc>
        <w:tc>
          <w:tcPr>
            <w:tcW w:type="dxa" w:w="4680"/>
            <w:shd w:fill="111111"/>
            <w:tcMar>
              <w:top w:w="100" w:type="dxa"/>
              <w:bottom w:w="100" w:type="dxa"/>
              <w:left w:w="120" w:type="dxa"/>
              <w:right w:w="120" w:type="dxa"/>
            </w:tcMar>
          </w:tcPr>
          <w:p>
            <w:r>
              <w:rPr>
                <w:b/>
                <w:color w:val="FFFFFF"/>
                <w:sz w:val="20"/>
              </w:rPr>
              <w:t>System Responsibility &amp; Operational Protocol</w:t>
            </w:r>
          </w:p>
        </w:tc>
      </w:tr>
      <w:tr>
        <w:tc>
          <w:tcPr>
            <w:tcW w:type="dxa" w:w="4680"/>
            <w:shd w:fill="FAF8F5"/>
            <w:tcMar>
              <w:top w:w="80" w:type="dxa"/>
              <w:bottom w:w="80" w:type="dxa"/>
              <w:left w:w="100" w:type="dxa"/>
              <w:right w:w="100" w:type="dxa"/>
            </w:tcMar>
          </w:tcPr>
          <w:p>
            <w:r>
              <w:rPr>
                <w:b/>
                <w:color w:val="111111"/>
                <w:sz w:val="19"/>
              </w:rPr>
              <w:t>Stage 1: Detect</w:t>
              <w:br/>
              <w:t>(TrustShield AI Anomaly)</w:t>
            </w:r>
          </w:p>
        </w:tc>
        <w:tc>
          <w:tcPr>
            <w:tcW w:type="dxa" w:w="4680"/>
            <w:shd w:fill="FAF8F5"/>
            <w:tcMar>
              <w:top w:w="80" w:type="dxa"/>
              <w:bottom w:w="80" w:type="dxa"/>
              <w:left w:w="100" w:type="dxa"/>
              <w:right w:w="100" w:type="dxa"/>
            </w:tcMar>
          </w:tcPr>
          <w:p>
            <w:r>
              <w:rPr>
                <w:color w:val="71717A"/>
                <w:sz w:val="18"/>
              </w:rPr>
              <w:t>Automated anomaly detectors monitor courier telemetry: instantaneous dual-OTP validations, impossible velocity across campus nodes (&gt;20 km/h on foot), and repeated device hardware fingerprints. Generates an internal risk score.</w:t>
            </w:r>
          </w:p>
        </w:tc>
      </w:tr>
      <w:tr>
        <w:tc>
          <w:tcPr>
            <w:tcW w:type="dxa" w:w="4680"/>
            <w:shd w:fill="FFFFFF"/>
            <w:tcMar>
              <w:top w:w="80" w:type="dxa"/>
              <w:bottom w:w="80" w:type="dxa"/>
              <w:left w:w="100" w:type="dxa"/>
              <w:right w:w="100" w:type="dxa"/>
            </w:tcMar>
          </w:tcPr>
          <w:p>
            <w:r>
              <w:rPr>
                <w:b/>
                <w:color w:val="111111"/>
                <w:sz w:val="19"/>
              </w:rPr>
              <w:t>Stage 2: Review</w:t>
              <w:br/>
              <w:t>(Evidence &amp; Telemetry Collection)</w:t>
            </w:r>
          </w:p>
        </w:tc>
        <w:tc>
          <w:tcPr>
            <w:tcW w:type="dxa" w:w="4680"/>
            <w:shd w:fill="FFFFFF"/>
            <w:tcMar>
              <w:top w:w="80" w:type="dxa"/>
              <w:bottom w:w="80" w:type="dxa"/>
              <w:left w:w="100" w:type="dxa"/>
              <w:right w:w="100" w:type="dxa"/>
            </w:tcMar>
          </w:tcPr>
          <w:p>
            <w:r>
              <w:rPr>
                <w:color w:val="71717A"/>
                <w:sz w:val="18"/>
              </w:rPr>
              <w:t>The system assembles a private investigation dossier: CCTV cross-reference timestamps at hostel gates, Bluetooth beacon proximity logs, and counterparty chat transcripts. Case routed to private admin queue.</w:t>
            </w:r>
          </w:p>
        </w:tc>
      </w:tr>
      <w:tr>
        <w:tc>
          <w:tcPr>
            <w:tcW w:type="dxa" w:w="4680"/>
            <w:shd w:fill="FAF8F5"/>
            <w:tcMar>
              <w:top w:w="80" w:type="dxa"/>
              <w:bottom w:w="80" w:type="dxa"/>
              <w:left w:w="100" w:type="dxa"/>
              <w:right w:w="100" w:type="dxa"/>
            </w:tcMar>
          </w:tcPr>
          <w:p>
            <w:r>
              <w:rPr>
                <w:b/>
                <w:color w:val="111111"/>
                <w:sz w:val="19"/>
              </w:rPr>
              <w:t>Stage 3: Confirm</w:t>
              <w:br/>
              <w:t>(Authorized Human Reviewer)</w:t>
            </w:r>
          </w:p>
        </w:tc>
        <w:tc>
          <w:tcPr>
            <w:tcW w:type="dxa" w:w="4680"/>
            <w:shd w:fill="FAF8F5"/>
            <w:tcMar>
              <w:top w:w="80" w:type="dxa"/>
              <w:bottom w:w="80" w:type="dxa"/>
              <w:left w:w="100" w:type="dxa"/>
              <w:right w:w="100" w:type="dxa"/>
            </w:tcMar>
          </w:tcPr>
          <w:p>
            <w:r>
              <w:rPr>
                <w:color w:val="71717A"/>
                <w:sz w:val="18"/>
              </w:rPr>
              <w:t>STRICT RULE: No account is EVER featured publicly purely from an algorithmic score. A human student proctor or admin verifies evidence, confirms violation, restricts the account, and marks it as CONFIRMED FRAUD.</w:t>
            </w:r>
          </w:p>
        </w:tc>
      </w:tr>
      <w:tr>
        <w:tc>
          <w:tcPr>
            <w:tcW w:type="dxa" w:w="4680"/>
            <w:shd w:fill="FFFFFF"/>
            <w:tcMar>
              <w:top w:w="80" w:type="dxa"/>
              <w:bottom w:w="80" w:type="dxa"/>
              <w:left w:w="100" w:type="dxa"/>
              <w:right w:w="100" w:type="dxa"/>
            </w:tcMar>
          </w:tcPr>
          <w:p>
            <w:r>
              <w:rPr>
                <w:b/>
                <w:color w:val="111111"/>
                <w:sz w:val="19"/>
              </w:rPr>
              <w:t>Stage 4: Feature</w:t>
              <w:br/>
              <w:t>(Public Gamification Assignment)</w:t>
            </w:r>
          </w:p>
        </w:tc>
        <w:tc>
          <w:tcPr>
            <w:tcW w:type="dxa" w:w="4680"/>
            <w:shd w:fill="FFFFFF"/>
            <w:tcMar>
              <w:top w:w="80" w:type="dxa"/>
              <w:bottom w:w="80" w:type="dxa"/>
              <w:left w:w="100" w:type="dxa"/>
              <w:right w:w="100" w:type="dxa"/>
            </w:tcMar>
          </w:tcPr>
          <w:p>
            <w:r>
              <w:rPr>
                <w:color w:val="71717A"/>
                <w:sz w:val="18"/>
              </w:rPr>
              <w:t>The verified incident becomes eligible for "Fraud of the Day" or "Fraud of the Month". Displayed on the public marketplace and admin dashboard as a community trust beacon and educational deterrent.</w:t>
            </w:r>
          </w:p>
        </w:tc>
      </w:tr>
    </w:tbl>
    <w:p>
      <w:pPr>
        <w:spacing w:after="200"/>
      </w:pPr>
    </w:p>
    <w:p>
      <w:pPr>
        <w:spacing w:after="120"/>
      </w:pPr>
      <w:r>
        <w:rPr>
          <w:b/>
        </w:rPr>
        <w:t>2.2 Data Architecture &amp; Schema</w:t>
        <w:br/>
      </w:r>
      <w:r>
        <w:t>All fraud records are maintained in `assets/campus-data.js` under `INITIAL_FRAUD_CASES`. Each case contains comprehensive forensic telemetry and editorial presentation keys:</w:t>
        <w:br/>
        <w:t>• `id`: Unique forensic tracking ID (e.g. `FRD-2026-089`)</w:t>
        <w:br/>
        <w:t>• `user`: Anonymized public moniker with initial (e.g. `Rahul S.`)</w:t>
        <w:br/>
        <w:t>• `regHash`: Partially masked student registration hash (`22BCE****`)</w:t>
        <w:br/>
        <w:t>• `title`: Catchy editorial incident title (e.g. `"The Great Pizza Phantom Hand-off"`)</w:t>
        <w:br/>
        <w:t>• `status`: `CONFIRMED VIOLATION` (human verified)</w:t>
        <w:br/>
        <w:t>• `featured`: `'day'`, `'month'`, or `null` (reactive badge trigger)</w:t>
        <w:br/>
        <w:t>• `trustShieldEvidence`: Object containing `routeDeviation`, `otpAttempts`, `investigatorNotes`, and `confirmedAt`.</w:t>
        <w:br/>
        <w:t>• `microcopy`: Restrained, tasteful warning slogan (e.g. `"Well... that didn't go according to plan."`)</w:t>
      </w:r>
    </w:p>
    <w:p>
      <w:pPr>
        <w:spacing w:after="280"/>
      </w:pPr>
      <w:r>
        <w:rPr>
          <w:b/>
        </w:rPr>
        <w:t>2.3 Key UI Components Built:</w:t>
        <w:br/>
      </w:r>
      <w:r>
        <w:t>1. Fraud of the Day Card (`src/views/marketplace.js` &amp; `landing.js`): Prominent editorial banner featuring avatar initials, incident title, date, and `[View Case]` modal CTA.</w:t>
        <w:br/>
        <w:t>2. Fraud of the Month Showcase (`src/views/trust.js`): High-impact display layout highlighting deep-dive investigations like collusive task farming.</w:t>
        <w:br/>
        <w:t>3. Forensic Case Dossier Modal (`src/views/fraud-detail.js`): Interactive dialog displaying the complete timeline, TrustShield evidence breakdown, and official sanction.</w:t>
        <w:br/>
        <w:t>4. Restricted Student Profile (`src/views/profile.js`): Profiles of penalized users render an official `⚠ OMW ACCOUNT RESTRICTED` notice with forfeited escrow.</w:t>
        <w:br/>
        <w:t>5. Admin Operations Desk (`src/views/admin.js`): Interactive controls to toggle `[Set Fraud of Day]`, `[Set Fraud of Month]`, and `[Unfeature]` with real-time app reactivity.</w:t>
      </w:r>
    </w:p>
    <w:p>
      <w:pPr>
        <w:pStyle w:val="Heading1"/>
        <w:spacing w:before="360" w:after="160"/>
      </w:pPr>
      <w:r>
        <w:rPr>
          <w:rFonts w:ascii="Georgia" w:hAnsi="Georgia"/>
          <w:color w:val="111111"/>
          <w:sz w:val="36"/>
        </w:rPr>
        <w:t>3. Feature 2: Real-World Campus GIS Map Engine (Final Version)</w:t>
      </w:r>
    </w:p>
    <w:p>
      <w:pPr>
        <w:spacing w:after="160"/>
      </w:pPr>
      <w:r>
        <w:rPr>
          <w:b/>
        </w:rPr>
        <w:t>3.1 Zero-API-Key Architecture &amp; Watermark Elimination</w:t>
        <w:br/>
      </w:r>
      <w:r>
        <w:t>Initial prototype implementations using CartoDB Positron began displaying an intrusive "API KEY REQUIRED" watermark on unauthenticated tile requests. To permanently eliminate this issue without requiring expensive paid map tokens, the engine was refactored with a multi-source open GIS stack:</w:t>
        <w:br/>
        <w:t>• Street Basemap: OpenStreetMap Standard (`https://{s}.tile.openstreetmap.org/{z}/{x}/{y}.png`) — 100% free, zero watermarks, zero API key required.</w:t>
        <w:br/>
        <w:t>• High-Resolution Satellite: Esri World Imagery (`https://server.arcgisonline.com/ArcGIS/rest/services/World_Imagery/MapServer/tile/{z}/{y}/{x}`) — real orbital satellite photos showing actual VIT rooftops, stadium turf, and trees with zero watermarks.</w:t>
        <w:br/>
        <w:t>• Campus Night Owl Mode: Filtered OpenStreetMap with inverted luminosity filter (`.leaflet-tiles-dark-filter`) for late night deliveries.</w:t>
        <w:br/>
        <w:t>• Optional API Key Hook: A dedicated modal allows pasting custom Mapbox tokens (`pk.eyJ...`) or Google Maps keys if desired, persisting in `localStorage`.</w:t>
      </w:r>
    </w:p>
    <w:p>
      <w:pPr>
        <w:spacing w:after="160"/>
      </w:pPr>
      <w:r>
        <w:rPr>
          <w:b/>
        </w:rPr>
        <w:t>3.2 Clean Zero-Clutter Landmark Markers (Hover-Only Labels)</w:t>
        <w:br/>
      </w:r>
      <w:r>
        <w:t>In early iterations, all 24 campus landmark pill badges (`SJT Tower`, `TT Xerox`, `Gate 2`, `Foody Hub`, `P Block`, etc.) were rendered simultaneously, causing excessive clumping and visual noise. The final implementation introduces an ultra-clean hover-only architecture:</w:t>
        <w:br/>
        <w:t>• Default State: Landmarks render as sleek 13px circular dots color-coded by category (Blue = Academic, Amber = Food, Teal = Hostel, Slate = Facility, Charcoal = Gate).</w:t>
        <w:br/>
        <w:t>• Hover State: When the cursor moves over any dot, its full badge (`[🎓 SJT Tower]`, `[☕ Foody Hub]`) smoothly pops up directly above it with a directional arrow.</w:t>
        <w:br/>
        <w:t>• Leave State: Moving the cursor away instantly hides the label, leaving the map completely clean and spacious.</w:t>
        <w:br/>
        <w:t>• Removal of Boxes: All intrusive box overlays (campus boundary red dashed line, translucent building polygons, floating legend boxes, and bulky marker rectangles) were completely removed.</w:t>
      </w:r>
    </w:p>
    <w:p>
      <w:pPr>
        <w:spacing w:after="160"/>
      </w:pPr>
      <w:r>
        <w:rPr>
          <w:b/>
        </w:rPr>
        <w:t>3.3 Road-Snapped Traceable Path (72 GPS Waypoints)</w:t>
        <w:br/>
      </w:r>
      <w:r>
        <w:t>Rather than drawing an artificial straight line that cuts across buildings and lawns, the active delivery corridor (`Main Gate → Q Block`) is strictly snapped to 72 real-world GPS road coordinates following the physical paved roads of VIT Vellore:</w:t>
        <w:br/>
        <w:t>1. Exits Main Gate Katpadi Road entrance canopy</w:t>
        <w:br/>
        <w:t>2. Follows the paved entrance avenue past Periyar Central Library</w:t>
        <w:br/>
        <w:t>3. Navigates the Anna Auditorium Hexagon roundabout</w:t>
        <w:br/>
        <w:t>4. Heads north along Central Campus Boulevard past Main Building (MB) and SMV</w:t>
        <w:br/>
        <w:t>5. Curves east into Technology Tower (TT) Ground Xerox front portico</w:t>
        <w:br/>
        <w:t>6. Curves past Gazebo Food Court and through the paved pedestrian walkway to Foody Street</w:t>
        <w:br/>
        <w:t>7. Follows the paved hostel road past the Health Centre and P Block</w:t>
        <w:br/>
        <w:t>8. Terminates right at the front entrance turnstiles of Q Block Men's Residential Tower.</w:t>
      </w:r>
    </w:p>
    <w:p>
      <w:pPr>
        <w:spacing w:after="280"/>
      </w:pPr>
      <w:r>
        <w:rPr>
          <w:b/>
        </w:rPr>
        <w:t>3.4 Animated Runner &amp; Turn-by-Turn Telemetry</w:t>
        <w:br/>
      </w:r>
      <w:r>
        <w:t>• Smooth Mathematical Interpolation: When advancing progress (+25%), the runner beacon (*Rohan Mehta*) smoothly follows the curves and bends of the actual roads.</w:t>
        <w:br/>
        <w:t>• Turn-by-Turn Cue Sheet: A 6-stage navigation card dynamically highlights the active step, showing distance, calories burned (~42 kcal), and step counts (~1,180 steps).</w:t>
        <w:br/>
        <w:t>• Dual OTP Verification: Integrated with Pickup OTP (`4821`) and Delivery OTP (`7392`) for end-to-end task progression.</w:t>
      </w:r>
    </w:p>
    <w:p>
      <w:pPr>
        <w:pStyle w:val="Heading1"/>
        <w:spacing w:before="360" w:after="160"/>
      </w:pPr>
      <w:r>
        <w:rPr>
          <w:rFonts w:ascii="Georgia" w:hAnsi="Georgia"/>
          <w:color w:val="111111"/>
          <w:sz w:val="36"/>
        </w:rPr>
        <w:t>4. Main Project Integration Guide</w:t>
      </w:r>
    </w:p>
    <w:p>
      <w:pPr>
        <w:spacing w:after="120"/>
      </w:pPr>
      <w:r>
        <w:t>To incorporate both features into your main production codebase, copy the following files and follow the step-by-step checklist:</w:t>
        <w:br/>
      </w:r>
    </w:p>
    <w:tbl>
      <w:tblPr>
        <w:tblW w:type="auto" w:w="0"/>
        <w:jc w:val="center"/>
        <w:tblLook w:firstColumn="1" w:firstRow="1" w:lastColumn="0" w:lastRow="0" w:noHBand="0" w:noVBand="1" w:val="04A0"/>
      </w:tblPr>
      <w:tblGrid>
        <w:gridCol w:w="3120"/>
        <w:gridCol w:w="3120"/>
        <w:gridCol w:w="3120"/>
      </w:tblGrid>
      <w:tr>
        <w:tc>
          <w:tcPr>
            <w:tcW w:type="dxa" w:w="3120"/>
            <w:shd w:fill="111111"/>
            <w:tcMar>
              <w:top w:w="100" w:type="dxa"/>
              <w:bottom w:w="100" w:type="dxa"/>
              <w:left w:w="120" w:type="dxa"/>
              <w:right w:w="120" w:type="dxa"/>
            </w:tcMar>
          </w:tcPr>
          <w:p>
            <w:r>
              <w:rPr>
                <w:b/>
                <w:color w:val="FFFFFF"/>
                <w:sz w:val="20"/>
              </w:rPr>
              <w:t>Source File Path</w:t>
            </w:r>
          </w:p>
        </w:tc>
        <w:tc>
          <w:tcPr>
            <w:tcW w:type="dxa" w:w="3120"/>
            <w:shd w:fill="111111"/>
            <w:tcMar>
              <w:top w:w="100" w:type="dxa"/>
              <w:bottom w:w="100" w:type="dxa"/>
              <w:left w:w="120" w:type="dxa"/>
              <w:right w:w="120" w:type="dxa"/>
            </w:tcMar>
          </w:tcPr>
          <w:p>
            <w:r>
              <w:rPr>
                <w:b/>
                <w:color w:val="FFFFFF"/>
                <w:sz w:val="20"/>
              </w:rPr>
              <w:t>Module Role</w:t>
            </w:r>
          </w:p>
        </w:tc>
        <w:tc>
          <w:tcPr>
            <w:tcW w:type="dxa" w:w="3120"/>
            <w:shd w:fill="111111"/>
            <w:tcMar>
              <w:top w:w="100" w:type="dxa"/>
              <w:bottom w:w="100" w:type="dxa"/>
              <w:left w:w="120" w:type="dxa"/>
              <w:right w:w="120" w:type="dxa"/>
            </w:tcMar>
          </w:tcPr>
          <w:p>
            <w:r>
              <w:rPr>
                <w:b/>
                <w:color w:val="FFFFFF"/>
                <w:sz w:val="20"/>
              </w:rPr>
              <w:t>Integration Action</w:t>
            </w:r>
          </w:p>
        </w:tc>
      </w:tr>
      <w:tr>
        <w:tc>
          <w:tcPr>
            <w:tcW w:type="dxa" w:w="3120"/>
            <w:shd w:fill="FAF8F5"/>
            <w:tcMar>
              <w:top w:w="80" w:type="dxa"/>
              <w:bottom w:w="80" w:type="dxa"/>
              <w:left w:w="100" w:type="dxa"/>
              <w:right w:w="100" w:type="dxa"/>
            </w:tcMar>
          </w:tcPr>
          <w:p>
            <w:r>
              <w:rPr>
                <w:b/>
                <w:sz w:val="18"/>
              </w:rPr>
              <w:t>assets/campus-data.js</w:t>
            </w:r>
          </w:p>
        </w:tc>
        <w:tc>
          <w:tcPr>
            <w:tcW w:type="dxa" w:w="3120"/>
            <w:shd w:fill="FAF8F5"/>
            <w:tcMar>
              <w:top w:w="80" w:type="dxa"/>
              <w:bottom w:w="80" w:type="dxa"/>
              <w:left w:w="100" w:type="dxa"/>
              <w:right w:w="100" w:type="dxa"/>
            </w:tcMar>
          </w:tcPr>
          <w:p>
            <w:r>
              <w:rPr>
                <w:sz w:val="18"/>
              </w:rPr>
              <w:t>Campus Geographic &amp; Fraud Data</w:t>
            </w:r>
          </w:p>
        </w:tc>
        <w:tc>
          <w:tcPr>
            <w:tcW w:type="dxa" w:w="3120"/>
            <w:shd w:fill="FAF8F5"/>
            <w:tcMar>
              <w:top w:w="80" w:type="dxa"/>
              <w:bottom w:w="80" w:type="dxa"/>
              <w:left w:w="100" w:type="dxa"/>
              <w:right w:w="100" w:type="dxa"/>
            </w:tcMar>
          </w:tcPr>
          <w:p>
            <w:r>
              <w:rPr>
                <w:sz w:val="18"/>
              </w:rPr>
              <w:t>Contains `VIT_LOCATIONS`, `CAMPUS_ROAD_WAYPOINTS`, `CAMPUS_TURN_BY_TURN_CUES`, and `INITIAL_FRAUD_CASES`. Copy into your data/assets folder.</w:t>
            </w:r>
          </w:p>
        </w:tc>
      </w:tr>
      <w:tr>
        <w:tc>
          <w:tcPr>
            <w:tcW w:type="dxa" w:w="3120"/>
            <w:shd w:fill="FFFFFF"/>
            <w:tcMar>
              <w:top w:w="80" w:type="dxa"/>
              <w:bottom w:w="80" w:type="dxa"/>
              <w:left w:w="100" w:type="dxa"/>
              <w:right w:w="100" w:type="dxa"/>
            </w:tcMar>
          </w:tcPr>
          <w:p>
            <w:r>
              <w:rPr>
                <w:b/>
                <w:sz w:val="18"/>
              </w:rPr>
              <w:t>src/map-engine.js</w:t>
            </w:r>
          </w:p>
        </w:tc>
        <w:tc>
          <w:tcPr>
            <w:tcW w:type="dxa" w:w="3120"/>
            <w:shd w:fill="FFFFFF"/>
            <w:tcMar>
              <w:top w:w="80" w:type="dxa"/>
              <w:bottom w:w="80" w:type="dxa"/>
              <w:left w:w="100" w:type="dxa"/>
              <w:right w:w="100" w:type="dxa"/>
            </w:tcMar>
          </w:tcPr>
          <w:p>
            <w:r>
              <w:rPr>
                <w:sz w:val="18"/>
              </w:rPr>
              <w:t>Leaflet Campus Map Engine</w:t>
            </w:r>
          </w:p>
        </w:tc>
        <w:tc>
          <w:tcPr>
            <w:tcW w:type="dxa" w:w="3120"/>
            <w:shd w:fill="FFFFFF"/>
            <w:tcMar>
              <w:top w:w="80" w:type="dxa"/>
              <w:bottom w:w="80" w:type="dxa"/>
              <w:left w:w="100" w:type="dxa"/>
              <w:right w:w="100" w:type="dxa"/>
            </w:tcMar>
          </w:tcPr>
          <w:p>
            <w:r>
              <w:rPr>
                <w:sz w:val="18"/>
              </w:rPr>
              <w:t>Export `LeafletCampusMapEngine`. Instantiates the OpenStreetMap / Esri Satellite map, renders hover dots, and manages road polyline.</w:t>
            </w:r>
          </w:p>
        </w:tc>
      </w:tr>
      <w:tr>
        <w:tc>
          <w:tcPr>
            <w:tcW w:type="dxa" w:w="3120"/>
            <w:shd w:fill="FAF8F5"/>
            <w:tcMar>
              <w:top w:w="80" w:type="dxa"/>
              <w:bottom w:w="80" w:type="dxa"/>
              <w:left w:w="100" w:type="dxa"/>
              <w:right w:w="100" w:type="dxa"/>
            </w:tcMar>
          </w:tcPr>
          <w:p>
            <w:r>
              <w:rPr>
                <w:b/>
                <w:sz w:val="18"/>
              </w:rPr>
              <w:t>src/views/tracking.js</w:t>
            </w:r>
          </w:p>
        </w:tc>
        <w:tc>
          <w:tcPr>
            <w:tcW w:type="dxa" w:w="3120"/>
            <w:shd w:fill="FAF8F5"/>
            <w:tcMar>
              <w:top w:w="80" w:type="dxa"/>
              <w:bottom w:w="80" w:type="dxa"/>
              <w:left w:w="100" w:type="dxa"/>
              <w:right w:w="100" w:type="dxa"/>
            </w:tcMar>
          </w:tcPr>
          <w:p>
            <w:r>
              <w:rPr>
                <w:sz w:val="18"/>
              </w:rPr>
              <w:t>Live Tracking &amp; Navigation View</w:t>
            </w:r>
          </w:p>
        </w:tc>
        <w:tc>
          <w:tcPr>
            <w:tcW w:type="dxa" w:w="3120"/>
            <w:shd w:fill="FAF8F5"/>
            <w:tcMar>
              <w:top w:w="80" w:type="dxa"/>
              <w:bottom w:w="80" w:type="dxa"/>
              <w:left w:w="100" w:type="dxa"/>
              <w:right w:w="100" w:type="dxa"/>
            </w:tcMar>
          </w:tcPr>
          <w:p>
            <w:r>
              <w:rPr>
                <w:sz w:val="18"/>
              </w:rPr>
              <w:t>Renders the Leaflet map container, basemap switchers (Street/Satellite/Night), turn-by-turn cue card, and dual OTP desks.</w:t>
            </w:r>
          </w:p>
        </w:tc>
      </w:tr>
      <w:tr>
        <w:tc>
          <w:tcPr>
            <w:tcW w:type="dxa" w:w="3120"/>
            <w:shd w:fill="FFFFFF"/>
            <w:tcMar>
              <w:top w:w="80" w:type="dxa"/>
              <w:bottom w:w="80" w:type="dxa"/>
              <w:left w:w="100" w:type="dxa"/>
              <w:right w:w="100" w:type="dxa"/>
            </w:tcMar>
          </w:tcPr>
          <w:p>
            <w:r>
              <w:rPr>
                <w:b/>
                <w:sz w:val="18"/>
              </w:rPr>
              <w:t>src/views/fraud-detail.js</w:t>
            </w:r>
          </w:p>
        </w:tc>
        <w:tc>
          <w:tcPr>
            <w:tcW w:type="dxa" w:w="3120"/>
            <w:shd w:fill="FFFFFF"/>
            <w:tcMar>
              <w:top w:w="80" w:type="dxa"/>
              <w:bottom w:w="80" w:type="dxa"/>
              <w:left w:w="100" w:type="dxa"/>
              <w:right w:w="100" w:type="dxa"/>
            </w:tcMar>
          </w:tcPr>
          <w:p>
            <w:r>
              <w:rPr>
                <w:sz w:val="18"/>
              </w:rPr>
              <w:t>Forensic Dossier Modal View</w:t>
            </w:r>
          </w:p>
        </w:tc>
        <w:tc>
          <w:tcPr>
            <w:tcW w:type="dxa" w:w="3120"/>
            <w:shd w:fill="FFFFFF"/>
            <w:tcMar>
              <w:top w:w="80" w:type="dxa"/>
              <w:bottom w:w="80" w:type="dxa"/>
              <w:left w:w="100" w:type="dxa"/>
              <w:right w:w="100" w:type="dxa"/>
            </w:tcMar>
          </w:tcPr>
          <w:p>
            <w:r>
              <w:rPr>
                <w:sz w:val="18"/>
              </w:rPr>
              <w:t>Renders the full modal dialog inspecting the TrustShield evidence chain, investigator notes, and official sanction.</w:t>
            </w:r>
          </w:p>
        </w:tc>
      </w:tr>
      <w:tr>
        <w:tc>
          <w:tcPr>
            <w:tcW w:type="dxa" w:w="3120"/>
            <w:shd w:fill="FAF8F5"/>
            <w:tcMar>
              <w:top w:w="80" w:type="dxa"/>
              <w:bottom w:w="80" w:type="dxa"/>
              <w:left w:w="100" w:type="dxa"/>
              <w:right w:w="100" w:type="dxa"/>
            </w:tcMar>
          </w:tcPr>
          <w:p>
            <w:r>
              <w:rPr>
                <w:b/>
                <w:sz w:val="18"/>
              </w:rPr>
              <w:t>assets/styles.css</w:t>
            </w:r>
          </w:p>
        </w:tc>
        <w:tc>
          <w:tcPr>
            <w:tcW w:type="dxa" w:w="3120"/>
            <w:shd w:fill="FAF8F5"/>
            <w:tcMar>
              <w:top w:w="80" w:type="dxa"/>
              <w:bottom w:w="80" w:type="dxa"/>
              <w:left w:w="100" w:type="dxa"/>
              <w:right w:w="100" w:type="dxa"/>
            </w:tcMar>
          </w:tcPr>
          <w:p>
            <w:r>
              <w:rPr>
                <w:sz w:val="18"/>
              </w:rPr>
              <w:t>Design System &amp; CSS Rules</w:t>
            </w:r>
          </w:p>
        </w:tc>
        <w:tc>
          <w:tcPr>
            <w:tcW w:type="dxa" w:w="3120"/>
            <w:shd w:fill="FAF8F5"/>
            <w:tcMar>
              <w:top w:w="80" w:type="dxa"/>
              <w:bottom w:w="80" w:type="dxa"/>
              <w:left w:w="100" w:type="dxa"/>
              <w:right w:w="100" w:type="dxa"/>
            </w:tcMar>
          </w:tcPr>
          <w:p>
            <w:r>
              <w:rPr>
                <w:sz w:val="18"/>
              </w:rPr>
              <w:t>Contains `.omw-landmark-node:hover .landmark-hover-bubble`, `.leaflet-tiles-dark-filter`, and editorial badge styles.</w:t>
            </w:r>
          </w:p>
        </w:tc>
      </w:tr>
    </w:tbl>
    <w:p>
      <w:pPr>
        <w:spacing w:after="240"/>
      </w:pPr>
    </w:p>
    <w:p>
      <w:pPr>
        <w:spacing w:after="120"/>
      </w:pPr>
      <w:r>
        <w:rPr>
          <w:b/>
        </w:rPr>
        <w:t>Step-by-Step Integration Checklist:</w:t>
        <w:br/>
      </w:r>
      <w:r>
        <w:t>1. Link Leaflet Assets in your HTML `&lt;head&gt;`:</w:t>
        <w:br/>
        <w:t xml:space="preserve">   `&lt;link rel="stylesheet" href="https://unpkg.com/leaflet@1.9.4/dist/leaflet.css" /&gt;`</w:t>
        <w:br/>
        <w:t xml:space="preserve">   `&lt;script src="https://unpkg.com/leaflet@1.9.4/dist/leaflet.js"&gt;&lt;/script&gt;`</w:t>
        <w:br/>
        <w:br/>
        <w:t>2. Initialize Map in View Lifecycle:</w:t>
        <w:br/>
        <w:t xml:space="preserve">   In your view mount or component `useEffect` / `mounted()` hook:</w:t>
        <w:br/>
        <w:t xml:space="preserve">   `this.mapEngine = new LeafletCampusMapEngine('campusLeafletMap', { initialProgress: 0.35 });`</w:t>
        <w:br/>
        <w:br/>
        <w:t>3. Bind Basemap Switcher Events:</w:t>
        <w:br/>
        <w:t xml:space="preserve">   When user clicks `[data-basemap="satellite"]`, call `this.mapEngine.switchBasemap('satellite')`.</w:t>
        <w:br/>
        <w:br/>
        <w:t>4. Advance Runner along Roads:</w:t>
        <w:br/>
        <w:t xml:space="preserve">   When user clicks "Advance Runner", call `this.mapEngine.advanceProgress(0.25)`. The runner marker automatically follows the 72 road waypoints.</w:t>
        <w:br/>
        <w:br/>
        <w:t>5. Render Fraud of the Day Modal:</w:t>
        <w:br/>
        <w:t xml:space="preserve">   Listen for clicks on `.open-fraud-modal-btn` with `data-fraud-id`, find the case in `INITIAL_FRAUD_CASES`, and display `renderFraudIncidentModal(case)`.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