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26</w:t>
      </w:r>
    </w:p>
    <w:p>
      <w:r>
        <w:t>Q: Does TMU follow the norms of professional councils? | A: Yes, TMU strictly adheres to the academic and professional standards set by statutory councils like MCI, DCI, PCI, INC, AICTE, and BCI for its various programmes.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