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850.3937007874016" w:firstLine="0"/>
        <w:rPr>
          <w:rFonts w:ascii="Comfortaa" w:cs="Comfortaa" w:eastAsia="Comfortaa" w:hAnsi="Comfortaa"/>
          <w:color w:val="303030"/>
          <w:sz w:val="40"/>
          <w:szCs w:val="4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303030"/>
          <w:sz w:val="40"/>
          <w:szCs w:val="40"/>
          <w:highlight w:val="white"/>
          <w:rtl w:val="0"/>
        </w:rPr>
        <w:t xml:space="preserve">TRANSCRIPCIÓN del VIDEO</w:t>
      </w:r>
    </w:p>
    <w:p w:rsidR="00000000" w:rsidDel="00000000" w:rsidP="00000000" w:rsidRDefault="00000000" w:rsidRPr="00000000" w14:paraId="00000002">
      <w:pPr>
        <w:ind w:left="-850.3937007874016" w:firstLine="0"/>
        <w:rPr>
          <w:color w:val="3030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850.3937007874016" w:firstLine="0"/>
        <w:rPr>
          <w:rFonts w:ascii="Lexend" w:cs="Lexend" w:eastAsia="Lexend" w:hAnsi="Lexend"/>
          <w:color w:val="303030"/>
          <w:sz w:val="20"/>
          <w:szCs w:val="20"/>
          <w:highlight w:val="white"/>
        </w:rPr>
      </w:pPr>
      <w:r w:rsidDel="00000000" w:rsidR="00000000" w:rsidRPr="00000000">
        <w:rPr>
          <w:rFonts w:ascii="Lexend" w:cs="Lexend" w:eastAsia="Lexend" w:hAnsi="Lexend"/>
          <w:color w:val="303030"/>
          <w:sz w:val="20"/>
          <w:szCs w:val="20"/>
          <w:shd w:fill="ededed" w:val="clear"/>
          <w:rtl w:val="0"/>
        </w:rPr>
        <w:t xml:space="preserve">La detección de dos casos de la enfermedad por el virus de Marburgo en Ghana, los primeros</w:t>
      </w:r>
      <w:r w:rsidDel="00000000" w:rsidR="00000000" w:rsidRPr="00000000">
        <w:rPr>
          <w:rFonts w:ascii="Lexend" w:cs="Lexend" w:eastAsia="Lexend" w:hAnsi="Lexend"/>
          <w:color w:val="303030"/>
          <w:sz w:val="20"/>
          <w:szCs w:val="20"/>
          <w:highlight w:val="white"/>
          <w:rtl w:val="0"/>
        </w:rPr>
        <w:t xml:space="preserve"> (0:07) en el país, encendió las alertas. La razón, se trata de una fiebre hemorrágica casi tan mortal como el ébola y sin vacuna. La Organización Mundial de la Salud advierte que este virus es grave y a menudo mortal.</w:t>
      </w:r>
    </w:p>
    <w:p w:rsidR="00000000" w:rsidDel="00000000" w:rsidP="00000000" w:rsidRDefault="00000000" w:rsidRPr="00000000" w14:paraId="00000004">
      <w:pPr>
        <w:ind w:left="-850.3937007874016" w:firstLine="0"/>
        <w:rPr>
          <w:rFonts w:ascii="Lexend" w:cs="Lexend" w:eastAsia="Lexend" w:hAnsi="Lexend"/>
          <w:color w:val="303030"/>
          <w:sz w:val="20"/>
          <w:szCs w:val="20"/>
          <w:highlight w:val="white"/>
        </w:rPr>
      </w:pPr>
      <w:r w:rsidDel="00000000" w:rsidR="00000000" w:rsidRPr="00000000">
        <w:rPr>
          <w:rFonts w:ascii="Lexend" w:cs="Lexend" w:eastAsia="Lexend" w:hAnsi="Lexend"/>
          <w:color w:val="303030"/>
          <w:sz w:val="20"/>
          <w:szCs w:val="20"/>
          <w:highlight w:val="white"/>
          <w:rtl w:val="0"/>
        </w:rPr>
        <w:t xml:space="preserve">Su periodo de incubación es de entre 2 y 21 días. La OMS señala que los síntomas de esta enfermedad aparecen bruscamente, con fiebre elevada, un dolor de cabeza intenso y gran malestar, así como frecuentes dolores musculares. Al tercer día pueden aparecer diarrea acuosa intensa, dolor y cólicos abdominales, náuseas y vómito.</w:t>
      </w:r>
    </w:p>
    <w:p w:rsidR="00000000" w:rsidDel="00000000" w:rsidP="00000000" w:rsidRDefault="00000000" w:rsidRPr="00000000" w14:paraId="00000005">
      <w:pPr>
        <w:ind w:left="-850.3937007874016" w:firstLine="0"/>
        <w:rPr>
          <w:rFonts w:ascii="Lexend" w:cs="Lexend" w:eastAsia="Lexend" w:hAnsi="Lexend"/>
          <w:color w:val="303030"/>
          <w:sz w:val="20"/>
          <w:szCs w:val="20"/>
          <w:highlight w:val="white"/>
        </w:rPr>
      </w:pPr>
      <w:r w:rsidDel="00000000" w:rsidR="00000000" w:rsidRPr="00000000">
        <w:rPr>
          <w:rFonts w:ascii="Lexend" w:cs="Lexend" w:eastAsia="Lexend" w:hAnsi="Lexend"/>
          <w:color w:val="303030"/>
          <w:sz w:val="20"/>
          <w:szCs w:val="20"/>
          <w:highlight w:val="white"/>
          <w:rtl w:val="0"/>
        </w:rPr>
        <w:t xml:space="preserve">La diarrea puede persistir una semana. Los ojos se hunden, los pacientes sufren letargo extremo y presentan lo que la OMS describe como aspecto fantasma. Entre los días 5 y 7 los enfermos suelen presentar hemorragias graves en varios órganos.</w:t>
      </w:r>
    </w:p>
    <w:p w:rsidR="00000000" w:rsidDel="00000000" w:rsidP="00000000" w:rsidRDefault="00000000" w:rsidRPr="00000000" w14:paraId="00000006">
      <w:pPr>
        <w:ind w:left="-850.3937007874016" w:firstLine="0"/>
        <w:rPr>
          <w:rFonts w:ascii="Lexend" w:cs="Lexend" w:eastAsia="Lexend" w:hAnsi="Lexend"/>
          <w:color w:val="303030"/>
          <w:sz w:val="20"/>
          <w:szCs w:val="20"/>
          <w:highlight w:val="white"/>
        </w:rPr>
      </w:pPr>
      <w:r w:rsidDel="00000000" w:rsidR="00000000" w:rsidRPr="00000000">
        <w:rPr>
          <w:rFonts w:ascii="Lexend" w:cs="Lexend" w:eastAsia="Lexend" w:hAnsi="Lexend"/>
          <w:color w:val="303030"/>
          <w:sz w:val="20"/>
          <w:szCs w:val="20"/>
          <w:highlight w:val="white"/>
          <w:rtl w:val="0"/>
        </w:rPr>
        <w:t xml:space="preserve">La presencia de sangre fresca en los vómitos y las heces suele acompañarse de hemorragia por la nariz, las encías y la vagina. Esta enfermedad afecta el sistema nervioso central. Los pacientes presentan confusión, irritabilidad y agresividad.</w:t>
      </w:r>
    </w:p>
    <w:p w:rsidR="00000000" w:rsidDel="00000000" w:rsidP="00000000" w:rsidRDefault="00000000" w:rsidRPr="00000000" w14:paraId="00000007">
      <w:pPr>
        <w:ind w:left="-850.3937007874016" w:firstLine="0"/>
        <w:rPr>
          <w:rFonts w:ascii="Lexend" w:cs="Lexend" w:eastAsia="Lexend" w:hAnsi="Lexend"/>
          <w:color w:val="303030"/>
          <w:sz w:val="20"/>
          <w:szCs w:val="20"/>
          <w:highlight w:val="white"/>
        </w:rPr>
      </w:pPr>
      <w:r w:rsidDel="00000000" w:rsidR="00000000" w:rsidRPr="00000000">
        <w:rPr>
          <w:rFonts w:ascii="Lexend" w:cs="Lexend" w:eastAsia="Lexend" w:hAnsi="Lexend"/>
          <w:color w:val="303030"/>
          <w:sz w:val="20"/>
          <w:szCs w:val="20"/>
          <w:highlight w:val="white"/>
          <w:rtl w:val="0"/>
        </w:rPr>
        <w:t xml:space="preserve">En la fase tardía de la enfermedad, que es a los 15 días del inicio, puede presentarse orquitis, que es inflamación en los testículos en los hombres. La muerte suele producirse a los 8 o 9 días del inicio de los síntomas y se suele preceder de grandes pérdidas de sangre y de choque, explica la OMS. La tasa media de letalidad de la enfermedad oscila en torno al 50%.</w:t>
      </w:r>
    </w:p>
    <w:p w:rsidR="00000000" w:rsidDel="00000000" w:rsidP="00000000" w:rsidRDefault="00000000" w:rsidRPr="00000000" w14:paraId="00000008">
      <w:pPr>
        <w:ind w:left="-850.3937007874016" w:firstLine="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color w:val="303030"/>
          <w:sz w:val="20"/>
          <w:szCs w:val="20"/>
          <w:highlight w:val="white"/>
          <w:rtl w:val="0"/>
        </w:rPr>
        <w:t xml:space="preserve">Sin embargo, puede ser de hasta 88% dependiendo de la cepa vírica y de la tensión. El virus se transmite por contacto directo de la piel lesionada o las mucosas con sangre, secreciones, órganos u otros líquidos corporales de personas infectadas, así como con superficies y materiales contaminados con dichos líquidos, como ropa personal o de cama.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1440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