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A0F2A6" w14:textId="77777777" w:rsidR="00342564" w:rsidRPr="00342564" w:rsidRDefault="00342564" w:rsidP="00BA7CAF">
      <w:pPr>
        <w:jc w:val="center"/>
        <w:rPr>
          <w:b/>
          <w:bCs/>
          <w:sz w:val="32"/>
          <w:szCs w:val="32"/>
        </w:rPr>
      </w:pPr>
      <w:r w:rsidRPr="00342564">
        <w:rPr>
          <w:b/>
          <w:bCs/>
          <w:sz w:val="32"/>
          <w:szCs w:val="32"/>
        </w:rPr>
        <w:t>REPORTE FORENSE</w:t>
      </w:r>
    </w:p>
    <w:p w14:paraId="55899EE6" w14:textId="77777777" w:rsidR="00342564" w:rsidRPr="00342564" w:rsidRDefault="00342564" w:rsidP="00342564">
      <w:r w:rsidRPr="00342564">
        <w:rPr>
          <w:b/>
          <w:bCs/>
        </w:rPr>
        <w:t>Caso:</w:t>
      </w:r>
      <w:r w:rsidRPr="00342564">
        <w:t xml:space="preserve"> Silencio en el apartamento 804</w:t>
      </w:r>
      <w:r w:rsidRPr="00342564">
        <w:br/>
      </w:r>
      <w:r w:rsidRPr="00342564">
        <w:rPr>
          <w:b/>
          <w:bCs/>
        </w:rPr>
        <w:t>Autoridad:</w:t>
      </w:r>
      <w:r w:rsidRPr="00342564">
        <w:t xml:space="preserve"> Comisaría Local – División de Investigaciones</w:t>
      </w:r>
      <w:r w:rsidRPr="00342564">
        <w:br/>
      </w:r>
      <w:r w:rsidRPr="00342564">
        <w:rPr>
          <w:b/>
          <w:bCs/>
        </w:rPr>
        <w:t>Médico Forense Actuante:</w:t>
      </w:r>
      <w:r w:rsidRPr="00342564">
        <w:t xml:space="preserve"> Dr. Julián Herrera</w:t>
      </w:r>
      <w:r w:rsidRPr="00342564">
        <w:br/>
      </w:r>
      <w:r w:rsidRPr="00342564">
        <w:rPr>
          <w:b/>
          <w:bCs/>
        </w:rPr>
        <w:t>Víctima:</w:t>
      </w:r>
      <w:r w:rsidRPr="00342564">
        <w:t xml:space="preserve"> Andrés Molina, masculino, 38 años</w:t>
      </w:r>
      <w:r w:rsidRPr="00342564">
        <w:br/>
      </w:r>
      <w:r w:rsidRPr="00342564">
        <w:rPr>
          <w:b/>
          <w:bCs/>
        </w:rPr>
        <w:t>Lugar del hallazgo:</w:t>
      </w:r>
      <w:r w:rsidRPr="00342564">
        <w:t xml:space="preserve"> Apartamento 804</w:t>
      </w:r>
      <w:r w:rsidRPr="00342564">
        <w:br/>
      </w:r>
      <w:r w:rsidRPr="00342564">
        <w:rPr>
          <w:b/>
          <w:bCs/>
        </w:rPr>
        <w:t>Fecha del examen:</w:t>
      </w:r>
      <w:r w:rsidRPr="00342564">
        <w:t xml:space="preserve"> Día siguiente al hallazgo</w:t>
      </w:r>
    </w:p>
    <w:p w14:paraId="1BA1BA2B" w14:textId="77777777" w:rsidR="00342564" w:rsidRPr="00342564" w:rsidRDefault="00A358DE" w:rsidP="00342564">
      <w:r>
        <w:pict w14:anchorId="22D37CC9">
          <v:rect id="_x0000_i1025" style="width:0;height:1.5pt" o:hralign="center" o:hrstd="t" o:hr="t" fillcolor="#a0a0a0" stroked="f"/>
        </w:pict>
      </w:r>
    </w:p>
    <w:p w14:paraId="266FCA94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I. Inspección externa del cuerpo</w:t>
      </w:r>
    </w:p>
    <w:p w14:paraId="29BB6A21" w14:textId="77777777" w:rsidR="00342564" w:rsidRPr="00342564" w:rsidRDefault="00342564" w:rsidP="00342564">
      <w:pPr>
        <w:numPr>
          <w:ilvl w:val="0"/>
          <w:numId w:val="1"/>
        </w:numPr>
      </w:pPr>
      <w:r w:rsidRPr="00342564">
        <w:t>El cuerpo fue hallado en posición decúbito dorsal, sobre el suelo de la sala.</w:t>
      </w:r>
    </w:p>
    <w:p w14:paraId="15E35014" w14:textId="77777777" w:rsidR="00342564" w:rsidRPr="00342564" w:rsidRDefault="00342564" w:rsidP="00342564">
      <w:pPr>
        <w:numPr>
          <w:ilvl w:val="0"/>
          <w:numId w:val="1"/>
        </w:numPr>
      </w:pPr>
      <w:r w:rsidRPr="00342564">
        <w:t>No se observaron signos de lucha defensiva en las extremidades superiores.</w:t>
      </w:r>
    </w:p>
    <w:p w14:paraId="4C83CBCF" w14:textId="77777777" w:rsidR="00342564" w:rsidRPr="00342564" w:rsidRDefault="00342564" w:rsidP="00342564">
      <w:pPr>
        <w:numPr>
          <w:ilvl w:val="0"/>
          <w:numId w:val="1"/>
        </w:numPr>
      </w:pPr>
      <w:r w:rsidRPr="00342564">
        <w:t>Se constató una herida contusa en la región occipital del cráneo, con bordes irregulares.</w:t>
      </w:r>
    </w:p>
    <w:p w14:paraId="772E950B" w14:textId="77777777" w:rsidR="00342564" w:rsidRPr="00342564" w:rsidRDefault="00342564" w:rsidP="00342564">
      <w:pPr>
        <w:numPr>
          <w:ilvl w:val="0"/>
          <w:numId w:val="1"/>
        </w:numPr>
      </w:pPr>
      <w:r w:rsidRPr="00342564">
        <w:t>La lesión es consistente con un golpe contundente contra una superficie rígida (mesa de madera).</w:t>
      </w:r>
    </w:p>
    <w:p w14:paraId="5118C6D3" w14:textId="77777777" w:rsidR="00342564" w:rsidRPr="00342564" w:rsidRDefault="00342564" w:rsidP="00342564">
      <w:pPr>
        <w:numPr>
          <w:ilvl w:val="0"/>
          <w:numId w:val="1"/>
        </w:numPr>
      </w:pPr>
      <w:r w:rsidRPr="00342564">
        <w:t>No se observaron hematomas compatibles con caídas leves domésticas previas al golpe.</w:t>
      </w:r>
    </w:p>
    <w:p w14:paraId="3E9061FF" w14:textId="77777777" w:rsidR="00342564" w:rsidRPr="00342564" w:rsidRDefault="00A358DE" w:rsidP="00342564">
      <w:r>
        <w:pict w14:anchorId="2666DE7F">
          <v:rect id="_x0000_i1026" style="width:0;height:1.5pt" o:hralign="center" o:hrstd="t" o:hr="t" fillcolor="#a0a0a0" stroked="f"/>
        </w:pict>
      </w:r>
    </w:p>
    <w:p w14:paraId="440C4934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II. Inspección interna</w:t>
      </w:r>
    </w:p>
    <w:p w14:paraId="26613A5E" w14:textId="77777777" w:rsidR="00342564" w:rsidRPr="00342564" w:rsidRDefault="00342564" w:rsidP="00342564">
      <w:pPr>
        <w:numPr>
          <w:ilvl w:val="0"/>
          <w:numId w:val="2"/>
        </w:numPr>
      </w:pPr>
      <w:r w:rsidRPr="00342564">
        <w:t>El examen interno reveló fractura craneal con hemorragia intracraneal masiva.</w:t>
      </w:r>
    </w:p>
    <w:p w14:paraId="7B08DFE4" w14:textId="77777777" w:rsidR="00342564" w:rsidRPr="00342564" w:rsidRDefault="00342564" w:rsidP="00342564">
      <w:pPr>
        <w:numPr>
          <w:ilvl w:val="0"/>
          <w:numId w:val="2"/>
        </w:numPr>
      </w:pPr>
      <w:r w:rsidRPr="00342564">
        <w:t>No se detectaron patologías previas que pudieran causar muerte súbita.</w:t>
      </w:r>
    </w:p>
    <w:p w14:paraId="1E82336D" w14:textId="77777777" w:rsidR="00342564" w:rsidRPr="00342564" w:rsidRDefault="00342564" w:rsidP="00342564">
      <w:pPr>
        <w:numPr>
          <w:ilvl w:val="0"/>
          <w:numId w:val="2"/>
        </w:numPr>
      </w:pPr>
      <w:r w:rsidRPr="00342564">
        <w:t>No se hallaron signos de intoxicación ni presencia de sustancias químicas en el organismo que hayan contribuido al deceso.</w:t>
      </w:r>
    </w:p>
    <w:p w14:paraId="03FBB158" w14:textId="77777777" w:rsidR="00342564" w:rsidRPr="00342564" w:rsidRDefault="00A358DE" w:rsidP="00342564">
      <w:r>
        <w:pict w14:anchorId="53727FCF">
          <v:rect id="_x0000_i1027" style="width:0;height:1.5pt" o:hralign="center" o:hrstd="t" o:hr="t" fillcolor="#a0a0a0" stroked="f"/>
        </w:pict>
      </w:r>
    </w:p>
    <w:p w14:paraId="69CF4127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III. Causa de muerte</w:t>
      </w:r>
    </w:p>
    <w:p w14:paraId="4F035A3F" w14:textId="77777777" w:rsidR="00342564" w:rsidRPr="00342564" w:rsidRDefault="00342564" w:rsidP="00342564">
      <w:pPr>
        <w:numPr>
          <w:ilvl w:val="0"/>
          <w:numId w:val="3"/>
        </w:numPr>
      </w:pPr>
      <w:r w:rsidRPr="00342564">
        <w:t xml:space="preserve">Se determina </w:t>
      </w:r>
      <w:r w:rsidRPr="00342564">
        <w:rPr>
          <w:b/>
          <w:bCs/>
        </w:rPr>
        <w:t>traumatismo craneoencefálico severo</w:t>
      </w:r>
      <w:r w:rsidRPr="00342564">
        <w:t xml:space="preserve"> por impacto contundente.</w:t>
      </w:r>
    </w:p>
    <w:p w14:paraId="4EA9FE00" w14:textId="77777777" w:rsidR="00342564" w:rsidRPr="00342564" w:rsidRDefault="00342564" w:rsidP="00342564">
      <w:pPr>
        <w:numPr>
          <w:ilvl w:val="0"/>
          <w:numId w:val="3"/>
        </w:numPr>
      </w:pPr>
      <w:r w:rsidRPr="00342564">
        <w:t>La lesión es incompatible con una caída doméstica accidental desde la posición de pie del individuo.</w:t>
      </w:r>
    </w:p>
    <w:p w14:paraId="6A821B0B" w14:textId="77777777" w:rsidR="00342564" w:rsidRPr="00342564" w:rsidRDefault="00342564" w:rsidP="00342564">
      <w:pPr>
        <w:numPr>
          <w:ilvl w:val="0"/>
          <w:numId w:val="3"/>
        </w:numPr>
      </w:pPr>
      <w:r w:rsidRPr="00342564">
        <w:t>El patrón de lesión indica fuerza aplicada externa en dirección posterior (empujón o impacto).</w:t>
      </w:r>
    </w:p>
    <w:p w14:paraId="1C54550F" w14:textId="77777777" w:rsidR="00342564" w:rsidRPr="00342564" w:rsidRDefault="00A358DE" w:rsidP="00342564">
      <w:r>
        <w:lastRenderedPageBreak/>
        <w:pict w14:anchorId="6A9E0196">
          <v:rect id="_x0000_i1028" style="width:0;height:1.5pt" o:hralign="center" o:hrstd="t" o:hr="t" fillcolor="#a0a0a0" stroked="f"/>
        </w:pict>
      </w:r>
    </w:p>
    <w:p w14:paraId="6A4FCEAD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IV. Hora estimada de la muerte</w:t>
      </w:r>
    </w:p>
    <w:p w14:paraId="12B8C5D3" w14:textId="77777777" w:rsidR="00342564" w:rsidRPr="00342564" w:rsidRDefault="00342564" w:rsidP="00342564">
      <w:pPr>
        <w:numPr>
          <w:ilvl w:val="0"/>
          <w:numId w:val="4"/>
        </w:numPr>
      </w:pPr>
      <w:r w:rsidRPr="00342564">
        <w:t xml:space="preserve">Según signos cadavéricos, la muerte ocurrió entre las </w:t>
      </w:r>
      <w:r w:rsidRPr="00342564">
        <w:rPr>
          <w:b/>
          <w:bCs/>
        </w:rPr>
        <w:t>18:45 y 19:15 horas</w:t>
      </w:r>
      <w:r w:rsidRPr="00342564">
        <w:t xml:space="preserve"> del día del hecho.</w:t>
      </w:r>
    </w:p>
    <w:p w14:paraId="5589F69C" w14:textId="77777777" w:rsidR="00342564" w:rsidRPr="00342564" w:rsidRDefault="00342564" w:rsidP="00342564">
      <w:pPr>
        <w:numPr>
          <w:ilvl w:val="0"/>
          <w:numId w:val="4"/>
        </w:numPr>
      </w:pPr>
      <w:r w:rsidRPr="00342564">
        <w:t>Coincide con la hora de la última presencia confirmada de terceros en el apartamento.</w:t>
      </w:r>
    </w:p>
    <w:p w14:paraId="28C6990A" w14:textId="77777777" w:rsidR="00342564" w:rsidRPr="00342564" w:rsidRDefault="00A358DE" w:rsidP="00342564">
      <w:r>
        <w:pict w14:anchorId="4AAFCC15">
          <v:rect id="_x0000_i1029" style="width:0;height:1.5pt" o:hralign="center" o:hrstd="t" o:hr="t" fillcolor="#a0a0a0" stroked="f"/>
        </w:pict>
      </w:r>
    </w:p>
    <w:p w14:paraId="65E9CA5B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V. Consideraciones médico-legales</w:t>
      </w:r>
    </w:p>
    <w:p w14:paraId="5504E7F7" w14:textId="77777777" w:rsidR="00342564" w:rsidRPr="00342564" w:rsidRDefault="00342564" w:rsidP="00342564">
      <w:pPr>
        <w:numPr>
          <w:ilvl w:val="0"/>
          <w:numId w:val="5"/>
        </w:numPr>
      </w:pPr>
      <w:r w:rsidRPr="00342564">
        <w:t>La localización y gravedad de la lesión descartan el accidente.</w:t>
      </w:r>
    </w:p>
    <w:p w14:paraId="3843BF94" w14:textId="77777777" w:rsidR="00342564" w:rsidRPr="00342564" w:rsidRDefault="00342564" w:rsidP="00342564">
      <w:pPr>
        <w:numPr>
          <w:ilvl w:val="0"/>
          <w:numId w:val="5"/>
        </w:numPr>
      </w:pPr>
      <w:r w:rsidRPr="00342564">
        <w:t>La herida es consistente con empujón o fuerza aplicada por un tercero.</w:t>
      </w:r>
    </w:p>
    <w:p w14:paraId="1A196A3C" w14:textId="77777777" w:rsidR="00342564" w:rsidRPr="00342564" w:rsidRDefault="00342564" w:rsidP="00342564">
      <w:pPr>
        <w:numPr>
          <w:ilvl w:val="0"/>
          <w:numId w:val="5"/>
        </w:numPr>
      </w:pPr>
      <w:r w:rsidRPr="00342564">
        <w:t xml:space="preserve">La evidencia externa (posición del cuerpo, alfombra desplazada) sugiere </w:t>
      </w:r>
      <w:r w:rsidRPr="00342564">
        <w:rPr>
          <w:b/>
          <w:bCs/>
        </w:rPr>
        <w:t>alteración de la escena</w:t>
      </w:r>
      <w:r w:rsidRPr="00342564">
        <w:t xml:space="preserve"> para simular un accidente.</w:t>
      </w:r>
    </w:p>
    <w:p w14:paraId="5C0D2EA0" w14:textId="77777777" w:rsidR="00342564" w:rsidRPr="00342564" w:rsidRDefault="00A358DE" w:rsidP="00342564">
      <w:r>
        <w:pict w14:anchorId="55350D61">
          <v:rect id="_x0000_i1030" style="width:0;height:1.5pt" o:hralign="center" o:hrstd="t" o:hr="t" fillcolor="#a0a0a0" stroked="f"/>
        </w:pict>
      </w:r>
    </w:p>
    <w:p w14:paraId="00C29E20" w14:textId="77777777" w:rsidR="00342564" w:rsidRPr="00342564" w:rsidRDefault="00342564" w:rsidP="00342564">
      <w:pPr>
        <w:rPr>
          <w:b/>
          <w:bCs/>
        </w:rPr>
      </w:pPr>
      <w:r w:rsidRPr="00342564">
        <w:rPr>
          <w:b/>
          <w:bCs/>
        </w:rPr>
        <w:t>VI. Conclusión del informe forense</w:t>
      </w:r>
    </w:p>
    <w:p w14:paraId="4538D79D" w14:textId="77777777" w:rsidR="00342564" w:rsidRPr="00342564" w:rsidRDefault="00342564" w:rsidP="00342564">
      <w:pPr>
        <w:numPr>
          <w:ilvl w:val="0"/>
          <w:numId w:val="6"/>
        </w:numPr>
      </w:pPr>
      <w:r w:rsidRPr="00342564">
        <w:t xml:space="preserve">La muerte de Andrés Molina </w:t>
      </w:r>
      <w:r w:rsidRPr="00342564">
        <w:rPr>
          <w:b/>
          <w:bCs/>
        </w:rPr>
        <w:t>no corresponde a un accidente doméstico</w:t>
      </w:r>
      <w:r w:rsidRPr="00342564">
        <w:t>.</w:t>
      </w:r>
    </w:p>
    <w:p w14:paraId="30B47F66" w14:textId="77777777" w:rsidR="00342564" w:rsidRPr="00342564" w:rsidRDefault="00342564" w:rsidP="00342564">
      <w:pPr>
        <w:numPr>
          <w:ilvl w:val="0"/>
          <w:numId w:val="6"/>
        </w:numPr>
      </w:pPr>
      <w:r w:rsidRPr="00342564">
        <w:t xml:space="preserve">Se clasifica como </w:t>
      </w:r>
      <w:r w:rsidRPr="00342564">
        <w:rPr>
          <w:b/>
          <w:bCs/>
        </w:rPr>
        <w:t>muerte violenta de etiología homicida</w:t>
      </w:r>
      <w:r w:rsidRPr="00342564">
        <w:t>.</w:t>
      </w:r>
    </w:p>
    <w:p w14:paraId="1788376F" w14:textId="77777777" w:rsidR="00342564" w:rsidRPr="00342564" w:rsidRDefault="00342564" w:rsidP="00342564">
      <w:pPr>
        <w:numPr>
          <w:ilvl w:val="0"/>
          <w:numId w:val="6"/>
        </w:numPr>
      </w:pPr>
      <w:r w:rsidRPr="00342564">
        <w:t>Cualquier hipótesis de caída accidental carece de sustento técnico.</w:t>
      </w:r>
    </w:p>
    <w:p w14:paraId="59A921A1" w14:textId="1AAAB0CF" w:rsidR="00CE708D" w:rsidRDefault="00CE708D">
      <w:bookmarkStart w:id="0" w:name="_GoBack"/>
      <w:bookmarkEnd w:id="0"/>
    </w:p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29D3"/>
    <w:multiLevelType w:val="multilevel"/>
    <w:tmpl w:val="68B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351A1"/>
    <w:multiLevelType w:val="multilevel"/>
    <w:tmpl w:val="8D5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65883"/>
    <w:multiLevelType w:val="multilevel"/>
    <w:tmpl w:val="DA8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4347A6"/>
    <w:multiLevelType w:val="multilevel"/>
    <w:tmpl w:val="EC3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5B1BC1"/>
    <w:multiLevelType w:val="multilevel"/>
    <w:tmpl w:val="D39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687AFE"/>
    <w:multiLevelType w:val="multilevel"/>
    <w:tmpl w:val="6AE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3B3936"/>
    <w:multiLevelType w:val="multilevel"/>
    <w:tmpl w:val="336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762CB2"/>
    <w:multiLevelType w:val="multilevel"/>
    <w:tmpl w:val="EC2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694"/>
    <w:rsid w:val="00092D84"/>
    <w:rsid w:val="00342564"/>
    <w:rsid w:val="007B5694"/>
    <w:rsid w:val="00A358DE"/>
    <w:rsid w:val="00BA7CAF"/>
    <w:rsid w:val="00CE708D"/>
    <w:rsid w:val="00DF5198"/>
    <w:rsid w:val="00E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6E3390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69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Gabriela Negrin N. GTP</cp:lastModifiedBy>
  <cp:revision>3</cp:revision>
  <dcterms:created xsi:type="dcterms:W3CDTF">2026-01-05T04:02:00Z</dcterms:created>
  <dcterms:modified xsi:type="dcterms:W3CDTF">2026-01-05T15:23:00Z</dcterms:modified>
</cp:coreProperties>
</file>