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5FA5"/>
          <w:sz w:val="36"/>
        </w:rPr>
        <w:t>ТЕХНИЧЕСКОЕ ЗАДАНИЕ</w:t>
      </w:r>
    </w:p>
    <w:p>
      <w:pPr>
        <w:jc w:val="center"/>
      </w:pPr>
      <w:r>
        <w:rPr>
          <w:sz w:val="28"/>
        </w:rPr>
        <w:t>на разработку системы предиктивной диагностики</w:t>
        <w:br/>
        <w:t>флотомашин и насосного оборудования</w:t>
        <w:br/>
        <w:t>на основе вибрационных, токовых и технологических данных</w:t>
      </w:r>
    </w:p>
    <w:p/>
    <w:p>
      <w:pPr>
        <w:jc w:val="center"/>
      </w:pPr>
      <w:r>
        <w:rPr>
          <w:sz w:val="22"/>
        </w:rPr>
        <w:t>Система: SmartReliability AI</w:t>
        <w:br/>
        <w:t>Разработчик: Astana IT University</w:t>
        <w:br/>
        <w:t>Заказчик-ориентир: ТОО «Корпорация Казахмыс»</w:t>
        <w:br/>
        <w:t>Редакция: актуализирована по реализованному прототипу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85FA5"/>
        </w:rPr>
        <w:t>1. Наименование и назначение</w:t>
      </w:r>
    </w:p>
    <w:p>
      <w:r>
        <w:rPr>
          <w:b w:val="0"/>
        </w:rPr>
        <w:t>Интеллектуальная система предиктивной диагностики флотомашин и насосного оборудования SmartReliability AI. Система анализирует вибрационные, токовые и технологические сигналы, рассчитывает индекс технического состояния, оценивает риск отказа, определяет вероятный тип дефекта и формирует рекомендации для службы эксплуатации и ремонта.</w:t>
      </w:r>
    </w:p>
    <w:p>
      <w:r>
        <w:rPr>
          <w:b/>
        </w:rPr>
        <w:t>Документ актуализирован в соответствии с реализованным программным прототипом: описываемые модули, модели и функции соответствуют исходному коду системы.</w:t>
      </w:r>
    </w:p>
    <w:p>
      <w:pPr>
        <w:pStyle w:val="Heading1"/>
      </w:pPr>
      <w:r>
        <w:rPr>
          <w:rFonts w:ascii="Times New Roman" w:hAnsi="Times New Roman"/>
          <w:color w:val="185FA5"/>
        </w:rPr>
        <w:t>2. Основание для разработки</w:t>
      </w:r>
    </w:p>
    <w:p>
      <w:r>
        <w:rPr>
          <w:b w:val="0"/>
        </w:rPr>
        <w:t>На промышленных предприятиях обслуживание динамического оборудования часто проводится по регламенту без учёта фактического состояния узлов. Это приводит к избыточным ремонтам либо к позднему выявлению дефектов и внеплановым простоям. Износ подшипников, дисбаланс, кавитация, перегрузка и другие дефекты приводят к аварийным остановкам и росту затрат на ремонт.</w:t>
      </w:r>
    </w:p>
    <w:p>
      <w:pPr>
        <w:pStyle w:val="Heading1"/>
      </w:pPr>
      <w:r>
        <w:rPr>
          <w:rFonts w:ascii="Times New Roman" w:hAnsi="Times New Roman"/>
          <w:color w:val="185FA5"/>
        </w:rPr>
        <w:t>3. Цель проекта</w:t>
      </w:r>
    </w:p>
    <w:p>
      <w:r>
        <w:rPr>
          <w:b w:val="0"/>
        </w:rPr>
        <w:t>Переход от обслуживания по регламенту к обслуживанию по фактическому состоянию оборудования за счёт раннего выявления неисправностей. Система позволяет:</w:t>
      </w:r>
    </w:p>
    <w:p>
      <w:pPr>
        <w:pStyle w:val="ListBullet"/>
      </w:pPr>
      <w:r>
        <w:t>выявлять ранние признаки неисправностей до отказа;</w:t>
      </w:r>
    </w:p>
    <w:p>
      <w:pPr>
        <w:pStyle w:val="ListBullet"/>
      </w:pPr>
      <w:r>
        <w:t>рассчитывать индекс технического состояния (Health Index);</w:t>
      </w:r>
    </w:p>
    <w:p>
      <w:pPr>
        <w:pStyle w:val="ListBullet"/>
      </w:pPr>
      <w:r>
        <w:t>оценивать риск отказа на 7, 14 и 30 дней;</w:t>
      </w:r>
    </w:p>
    <w:p>
      <w:pPr>
        <w:pStyle w:val="ListBullet"/>
      </w:pPr>
      <w:r>
        <w:t>определять вероятный тип дефекта с уровнем уверенности;</w:t>
      </w:r>
    </w:p>
    <w:p>
      <w:pPr>
        <w:pStyle w:val="ListBullet"/>
      </w:pPr>
      <w:r>
        <w:t>формировать рекомендации для ремонтной службы;</w:t>
      </w:r>
    </w:p>
    <w:p>
      <w:pPr>
        <w:pStyle w:val="ListBullet"/>
      </w:pPr>
      <w:r>
        <w:t>предупреждать об отказе заблаговременно (в среднем за десятки часов).</w:t>
      </w:r>
    </w:p>
    <w:p>
      <w:pPr>
        <w:pStyle w:val="Heading1"/>
      </w:pPr>
      <w:r>
        <w:rPr>
          <w:rFonts w:ascii="Times New Roman" w:hAnsi="Times New Roman"/>
          <w:color w:val="185FA5"/>
        </w:rPr>
        <w:t>4. Объект диагностики</w:t>
      </w:r>
    </w:p>
    <w:p>
      <w:r>
        <w:rPr>
          <w:b w:val="0"/>
        </w:rPr>
        <w:t>Флотомашины и насосное оборудование обогатительных фабрик, включая: электродвигатели, подшипниковые узлы, валы, импеллеры флотомашин, рабочие колёса насосов. Специфика «Казахмыс»: шламовые насосы (Warman, Sulzer) с гидроабразивным износом, крупнообъёмные флотомашины.</w:t>
      </w:r>
    </w:p>
    <w:p>
      <w:pPr>
        <w:pStyle w:val="Heading1"/>
      </w:pPr>
      <w:r>
        <w:rPr>
          <w:rFonts w:ascii="Times New Roman" w:hAnsi="Times New Roman"/>
          <w:color w:val="185FA5"/>
        </w:rPr>
        <w:t>5. Диагностируемые неисправности</w:t>
      </w:r>
    </w:p>
    <w:p>
      <w:r>
        <w:rPr>
          <w:b w:val="0"/>
        </w:rPr>
        <w:t>Система обучена распознавать следующие типы состояний (реализовано в классификаторе):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Тип дефекта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Признаки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normal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нормальная работа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bearing_wear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износ подшипника: рост вибрации, температуры, падение оборотов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imbalance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дисбаланс: рост вибрации и тока, снижение оборотов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cavitation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кавитация: резкий рост тока, падение давления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overload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перегрузка двигателя: рост тока и температуры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clogging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засорение: падение расхода, рост давления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motor_fault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дефект двигателя: перегрев, нестабильный ток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185FA5"/>
        </w:rPr>
        <w:t>6. Архитектура программного обеспечения</w:t>
      </w:r>
    </w:p>
    <w:p>
      <w:r>
        <w:rPr>
          <w:b w:val="0"/>
        </w:rPr>
        <w:t>Система реализована как модульное приложение. Фактическая структура кода: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Модуль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data.py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загрузка и предобработка данных (очистка, выбросы, режимы)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features.py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извлечение диагностических признаков (21 признак)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models.py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диагностическое ядро: гибридный детектор + классификатор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fft_analysis.py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частотный анализ вибрации (FFT)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simulator.py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симулятор потоковых данных для демонстрации и валидации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validation.py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оценка модели: метрики, confusion matrix, lead 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diagnostics.py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формирование рекомендаций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export.py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экспорт отчётов в Excel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app.py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дашборд (интерфейс, 6 вкладок)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185FA5"/>
        </w:rPr>
        <w:t>7. Исходные данные</w:t>
      </w:r>
    </w:p>
    <w:p>
      <w:r>
        <w:rPr>
          <w:b w:val="0"/>
        </w:rPr>
        <w:t>Система работает с телеметрией оборудования. Обязательные сигналы (входные признаки модели):</w:t>
      </w:r>
    </w:p>
    <w:p>
      <w:pPr>
        <w:pStyle w:val="ListBullet"/>
      </w:pPr>
      <w:r>
        <w:t>вибрация: RMS, пиковое значение;</w:t>
      </w:r>
    </w:p>
    <w:p>
      <w:pPr>
        <w:pStyle w:val="ListBullet"/>
      </w:pPr>
      <w:r>
        <w:t>трёхфазный ток (A, B, C), активная мощность;</w:t>
      </w:r>
    </w:p>
    <w:p>
      <w:pPr>
        <w:pStyle w:val="ListBullet"/>
      </w:pPr>
      <w:r>
        <w:t>температура подшипника;</w:t>
      </w:r>
    </w:p>
    <w:p>
      <w:pPr>
        <w:pStyle w:val="ListBullet"/>
      </w:pPr>
      <w:r>
        <w:t>давление на входе и выходе;</w:t>
      </w:r>
    </w:p>
    <w:p>
      <w:pPr>
        <w:pStyle w:val="ListBullet"/>
      </w:pPr>
      <w:r>
        <w:t>расход, обороты (об/мин).</w:t>
      </w:r>
    </w:p>
    <w:p>
      <w:r>
        <w:rPr>
          <w:b w:val="0"/>
        </w:rPr>
        <w:t>Для частотного анализа используется сырой вибросигнал (ускорение) с высокой частотой дискретизации (20 кГц).</w:t>
      </w:r>
    </w:p>
    <w:p>
      <w:r>
        <w:rPr>
          <w:b w:val="0"/>
        </w:rPr>
        <w:t>Демонстрационный датасет: 25 920 часовых записей, 12 агрегатов (6 насосов, 6 флотомашин), 3 месяца; плюс 120 000 точек сырой вибрации. Полное описание — в паспорте датасета (DATASET_CARD).</w:t>
      </w:r>
    </w:p>
    <w:p>
      <w:pPr>
        <w:pStyle w:val="Heading1"/>
      </w:pPr>
      <w:r>
        <w:rPr>
          <w:rFonts w:ascii="Times New Roman" w:hAnsi="Times New Roman"/>
          <w:color w:val="185FA5"/>
        </w:rPr>
        <w:t>8. Предобработка и извлечение признаков</w:t>
      </w:r>
    </w:p>
    <w:p>
      <w:pPr>
        <w:pStyle w:val="Heading2"/>
      </w:pPr>
      <w:r>
        <w:rPr>
          <w:rFonts w:ascii="Times New Roman" w:hAnsi="Times New Roman"/>
          <w:color w:val="333333"/>
        </w:rPr>
        <w:t>8.1. Предобработка</w:t>
      </w:r>
    </w:p>
    <w:p>
      <w:r>
        <w:rPr>
          <w:b w:val="0"/>
        </w:rPr>
        <w:t>Реализовано в data.py: очистка пропусков (интерполяция внутри агрегата), обработка выбросов (клиппинг по перцентилям), маркировка пусков/остановов и рабочих режимов.</w:t>
      </w:r>
    </w:p>
    <w:p>
      <w:pPr>
        <w:pStyle w:val="Heading2"/>
      </w:pPr>
      <w:r>
        <w:rPr>
          <w:rFonts w:ascii="Times New Roman" w:hAnsi="Times New Roman"/>
          <w:color w:val="333333"/>
        </w:rPr>
        <w:t>8.2. Диагностические признаки (21)</w:t>
      </w:r>
    </w:p>
    <w:p>
      <w:r>
        <w:rPr>
          <w:b w:val="0"/>
        </w:rPr>
        <w:t>Реализовано в features.py:</w:t>
      </w:r>
    </w:p>
    <w:p>
      <w:pPr>
        <w:pStyle w:val="ListBullet"/>
      </w:pPr>
      <w:r>
        <w:t>11 сенсорных сигналов;</w:t>
      </w:r>
    </w:p>
    <w:p>
      <w:pPr>
        <w:pStyle w:val="ListBullet"/>
      </w:pPr>
      <w:r>
        <w:t>тренды и скорости роста по вибрации, току, температуре, расходу;</w:t>
      </w:r>
    </w:p>
    <w:p>
      <w:pPr>
        <w:pStyle w:val="ListBullet"/>
      </w:pPr>
      <w:r>
        <w:t>перекос фаз тока (current_imbalance);</w:t>
      </w:r>
    </w:p>
    <w:p>
      <w:pPr>
        <w:pStyle w:val="ListBullet"/>
      </w:pPr>
      <w:r>
        <w:t>коэффициент ударности (crest factor).</w:t>
      </w:r>
    </w:p>
    <w:p>
      <w:pPr>
        <w:pStyle w:val="Heading2"/>
      </w:pPr>
      <w:r>
        <w:rPr>
          <w:rFonts w:ascii="Times New Roman" w:hAnsi="Times New Roman"/>
          <w:color w:val="333333"/>
        </w:rPr>
        <w:t>8.3. Частотные признаки (FFT)</w:t>
      </w:r>
    </w:p>
    <w:p>
      <w:r>
        <w:rPr>
          <w:b w:val="0"/>
        </w:rPr>
        <w:t>Реализовано в fft_analysis.py: FFT-спектр вибросигнала, RMS по частотным диапазонам (оборотная частота, гармоники, зона подшипника, удары), kurtosis, гармоники оборотной частоты. Частотный анализ выявляет дефекты подшипника раньше, чем анализ мгновенных значений: с ростом деградации пик смещается с оборотной частоты на высшие гармоники.</w:t>
      </w:r>
    </w:p>
    <w:p>
      <w:pPr>
        <w:pStyle w:val="Heading1"/>
      </w:pPr>
      <w:r>
        <w:rPr>
          <w:rFonts w:ascii="Times New Roman" w:hAnsi="Times New Roman"/>
          <w:color w:val="185FA5"/>
        </w:rPr>
        <w:t>9. Модели машинного обучения</w:t>
      </w:r>
    </w:p>
    <w:p>
      <w:pPr>
        <w:pStyle w:val="Heading2"/>
      </w:pPr>
      <w:r>
        <w:rPr>
          <w:rFonts w:ascii="Times New Roman" w:hAnsi="Times New Roman"/>
          <w:color w:val="333333"/>
        </w:rPr>
        <w:t>9.1. Обнаружение аномалий — гибридный детектор</w:t>
      </w:r>
    </w:p>
    <w:p>
      <w:r>
        <w:rPr>
          <w:b w:val="0"/>
        </w:rPr>
        <w:t>Реализовано в models.py. Гибридный детектор из двух контуров:</w:t>
      </w:r>
    </w:p>
    <w:p>
      <w:pPr>
        <w:pStyle w:val="ListBullet"/>
      </w:pPr>
      <w:r>
        <w:t>контрольные карты (3σ) — быстрый интерпретируемый контур (вес 40%);</w:t>
      </w:r>
    </w:p>
    <w:p>
      <w:pPr>
        <w:pStyle w:val="ListBullet"/>
      </w:pPr>
      <w:r>
        <w:t>One-Class SVM — чувствительный ML-контур (вес 60%).</w:t>
      </w:r>
    </w:p>
    <w:p>
      <w:r>
        <w:rPr>
          <w:b w:val="0"/>
        </w:rPr>
        <w:t>Итоговый anomaly score — взвешенная сумма контуров. Из него рассчитываются Health Index и четыре уровня состояния: normal / warning / anomaly / critical. Качество: ROC-AUC ≈ 0.88 на детекции дефектов, ≈ 0.99 против экспертных меток.</w:t>
      </w:r>
    </w:p>
    <w:p>
      <w:pPr>
        <w:pStyle w:val="Heading2"/>
      </w:pPr>
      <w:r>
        <w:rPr>
          <w:rFonts w:ascii="Times New Roman" w:hAnsi="Times New Roman"/>
          <w:color w:val="333333"/>
        </w:rPr>
        <w:t>9.2. Классификация типа дефекта</w:t>
      </w:r>
    </w:p>
    <w:p>
      <w:r>
        <w:rPr>
          <w:b w:val="0"/>
        </w:rPr>
        <w:t>Random Forest (120 деревьев, глубина 12) определяет вероятный тип дефекта из 7 классов с уровнем уверенности.</w:t>
      </w:r>
    </w:p>
    <w:p>
      <w:pPr>
        <w:pStyle w:val="Heading2"/>
      </w:pPr>
      <w:r>
        <w:rPr>
          <w:rFonts w:ascii="Times New Roman" w:hAnsi="Times New Roman"/>
          <w:color w:val="333333"/>
        </w:rPr>
        <w:t>9.3. Индекс технического состояния (Health Index)</w:t>
      </w:r>
    </w:p>
    <w:p>
      <w:r>
        <w:rPr>
          <w:b w:val="0"/>
        </w:rPr>
        <w:t>Рассчитывается из anomaly score по шкале 0–100. Интерпретация: 90–100 норма, 70–89 наблюдение, 50–69 требуется диагностика, 30–49 высокий риск, 0–29 критическое состояние.</w:t>
      </w:r>
    </w:p>
    <w:p>
      <w:pPr>
        <w:pStyle w:val="Heading2"/>
      </w:pPr>
      <w:r>
        <w:rPr>
          <w:rFonts w:ascii="Times New Roman" w:hAnsi="Times New Roman"/>
          <w:color w:val="333333"/>
        </w:rPr>
        <w:t>9.4. Оценка риска отказа</w:t>
      </w:r>
    </w:p>
    <w:p>
      <w:r>
        <w:rPr>
          <w:b w:val="0"/>
        </w:rPr>
        <w:t>Риск на 7, 14 и 30 дней рассчитывается как функция от anomaly score с разными горизонтами. Это эвристическая оценка уровня MVP; следующий этап развития — модель остаточного ресурса (RUL) на исторических отказах.</w:t>
      </w:r>
    </w:p>
    <w:p>
      <w:pPr>
        <w:pStyle w:val="Heading1"/>
      </w:pPr>
      <w:r>
        <w:rPr>
          <w:rFonts w:ascii="Times New Roman" w:hAnsi="Times New Roman"/>
          <w:color w:val="185FA5"/>
        </w:rPr>
        <w:t>10. Требования к качеству и метрики</w:t>
      </w:r>
    </w:p>
    <w:p>
      <w:r>
        <w:rPr>
          <w:b w:val="0"/>
        </w:rPr>
        <w:t>Оценка проводится модулем validation.py на потоковых сценариях деградации. Пороговые значения для прототипа: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Метрика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Целевое значение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Достигнуто (прототип)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Обнаружение дефектов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≥ 90%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Точность типа дефекта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≥ 70%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≈ 78%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Macro-F1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≥ 0.70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≈ 0.72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ROC-AUC (детекция)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≥ 0.85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≈ 0.88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Раннее предупреждение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&gt; 0 ч до отказа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десятки часов</w:t>
            </w:r>
          </w:p>
        </w:tc>
      </w:tr>
    </w:tbl>
    <w:p>
      <w:r>
        <w:rPr>
          <w:b w:val="0"/>
        </w:rPr>
        <w:t>Валидация включает: Precision, Recall, F1, ROC-AUC, матрицу ошибок (confusion matrix) и lead time (за сколько времени до отказа система предупреждает). Известное ограничение: засорение и износ подшипника имеют схожие вибрационные сигнатуры и могут смешиваться — требуется больше реальных данных для их разделения.</w:t>
      </w:r>
    </w:p>
    <w:p>
      <w:pPr>
        <w:pStyle w:val="Heading1"/>
      </w:pPr>
      <w:r>
        <w:rPr>
          <w:rFonts w:ascii="Times New Roman" w:hAnsi="Times New Roman"/>
          <w:color w:val="185FA5"/>
        </w:rPr>
        <w:t>11. Дашборд (интерфейс)</w:t>
      </w:r>
    </w:p>
    <w:p>
      <w:r>
        <w:rPr>
          <w:b w:val="0"/>
        </w:rPr>
        <w:t>Реализовано в app.py. Веб-дашборд из шести вкладок: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Вкладка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Парк оборудования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мнемосхема цеха, список агрегатов по Health Index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Диагностика агрегата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карточка: HI, дефект, риск, объяснение, графики, FFT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Отчёты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экспорт в Excel, распределение парка, история отказов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Симулятор (live)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имитация потоковой диагностики в реальном времени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Валидация модели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метрики, confusion matrix, lead 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Внедрение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схема промышленной интеграции, человек в контуре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185FA5"/>
        </w:rPr>
        <w:t>12. Рекомендации</w:t>
      </w:r>
    </w:p>
    <w:p>
      <w:r>
        <w:rPr>
          <w:b w:val="0"/>
        </w:rPr>
        <w:t>Для каждого типа дефекта система формирует понятную рекомендацию ремонтной службе с обоснованием (какие сигналы отклонились). Реализовано в diagnostics.py.</w:t>
      </w:r>
    </w:p>
    <w:p>
      <w:pPr>
        <w:pStyle w:val="Heading1"/>
      </w:pPr>
      <w:r>
        <w:rPr>
          <w:rFonts w:ascii="Times New Roman" w:hAnsi="Times New Roman"/>
          <w:color w:val="185FA5"/>
        </w:rPr>
        <w:t>13. Экспорт результатов</w:t>
      </w:r>
    </w:p>
    <w:p>
      <w:r>
        <w:rPr>
          <w:b w:val="0"/>
        </w:rPr>
        <w:t>Реализовано в export.py. Отчёты в Excel: сводка по парку, детальный отчёт по агрегату с телеметрией и диагностикой. Форматирование с цветовой заливкой по уровням состояния.</w:t>
      </w:r>
    </w:p>
    <w:p>
      <w:pPr>
        <w:pStyle w:val="Heading1"/>
      </w:pPr>
      <w:r>
        <w:rPr>
          <w:rFonts w:ascii="Times New Roman" w:hAnsi="Times New Roman"/>
          <w:color w:val="185FA5"/>
        </w:rPr>
        <w:t>14. Порядок контроля и приёмки</w:t>
      </w:r>
    </w:p>
    <w:p>
      <w:r>
        <w:rPr>
          <w:b w:val="0"/>
        </w:rPr>
        <w:t>Контроль качества модели проводится через встроенный модуль валидации (вкладка «Валидация модели»), который прогоняет контролируемые сценарии и выдаёт метрики. Приёмка прототипа — по достижению пороговых значений раздела 10.</w:t>
      </w:r>
    </w:p>
    <w:p>
      <w:pPr>
        <w:pStyle w:val="Heading1"/>
      </w:pPr>
      <w:r>
        <w:rPr>
          <w:rFonts w:ascii="Times New Roman" w:hAnsi="Times New Roman"/>
          <w:color w:val="185FA5"/>
        </w:rPr>
        <w:t>15. Требования к промышленной интеграции</w:t>
      </w:r>
    </w:p>
    <w:p>
      <w:r>
        <w:rPr>
          <w:b w:val="0"/>
        </w:rPr>
        <w:t>Архитектура внедрения (вкладка «Внедрение»):</w:t>
      </w:r>
    </w:p>
    <w:p>
      <w:r>
        <w:rPr>
          <w:b/>
        </w:rPr>
        <w:t>Датчики → SCADA/PLC → Edge Gateway → AI-модель → Дашборд → Ремонтная заявка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Уровень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Требования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Датчики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вибрация, ток, температура, давление, расход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Сбор данных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SCADA / PLC / OPC UA / MQTT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Хранилище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time-series database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AI-обработка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edge или сервер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Интерфейс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дашборд надёжности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Интеграция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заявка в ремонтную службу (ТОиР)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Контроль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журнал тревог, подтверждение дефекта инженером</w:t>
            </w:r>
          </w:p>
        </w:tc>
      </w:tr>
    </w:tbl>
    <w:p>
      <w:r>
        <w:rPr>
          <w:b w:val="0"/>
        </w:rPr>
        <w:t>Человек в контуре: AI выдаёт тревогу → инженер подтверждает/отклоняет → результат фиксируется → модель дообучается → точность растёт.</w:t>
      </w:r>
    </w:p>
    <w:p>
      <w:pPr>
        <w:pStyle w:val="Heading1"/>
      </w:pPr>
      <w:r>
        <w:rPr>
          <w:rFonts w:ascii="Times New Roman" w:hAnsi="Times New Roman"/>
          <w:color w:val="185FA5"/>
        </w:rPr>
        <w:t>16. Этапы внедрения (пилот для «Казахмыс»)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Этап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Срок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1. Аудит данных и оборудования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 недели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список агрегатов и датчиков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2. Подключение телеметрии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 месяц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потоковая телеметрия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3. Калибровка модели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1–2 месяца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рабочий Health Index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4. Пилотная эксплуатация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 месяца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отчёт по тревогам и отказам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5. Масштабирование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6–12 месяцев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внедрение на парк</w:t>
            </w:r>
          </w:p>
        </w:tc>
      </w:tr>
    </w:tbl>
    <w:p>
      <w:r>
        <w:rPr>
          <w:b w:val="0"/>
        </w:rPr>
        <w:t>Подробный план — в документе PILOT_PLAN.</w:t>
      </w:r>
    </w:p>
    <w:p>
      <w:pPr>
        <w:pStyle w:val="Heading1"/>
      </w:pPr>
      <w:r>
        <w:rPr>
          <w:rFonts w:ascii="Times New Roman" w:hAnsi="Times New Roman"/>
          <w:color w:val="185FA5"/>
        </w:rPr>
        <w:t>17. Ограничения</w:t>
      </w:r>
    </w:p>
    <w:p>
      <w:r>
        <w:rPr>
          <w:b w:val="0"/>
        </w:rPr>
        <w:t>Демонстрационный прототип обучен на синтетических данных с контролируемыми сигнатурами дефектов. Метрики реалистичны и не завышены, что подтверждает корректность пайплайна. Для промышленного применения требуется калибровка порогов и переобучение моделей на реальных сигналах предприятия. Частотный анализ реализован для агрегата с сырыми вибро-данными; для остальных требуется установка высокочастотных датчиков.</w:t>
      </w:r>
    </w:p>
    <w:p>
      <w:pPr>
        <w:pStyle w:val="Heading1"/>
      </w:pPr>
      <w:r>
        <w:rPr>
          <w:rFonts w:ascii="Times New Roman" w:hAnsi="Times New Roman"/>
          <w:color w:val="185FA5"/>
        </w:rPr>
        <w:t>18. Ожидаемые результаты</w:t>
      </w:r>
    </w:p>
    <w:p>
      <w:pPr>
        <w:pStyle w:val="ListBullet"/>
      </w:pPr>
      <w:r>
        <w:t>мониторинг состояния флотомашин и насосного оборудования;</w:t>
      </w:r>
    </w:p>
    <w:p>
      <w:pPr>
        <w:pStyle w:val="ListBullet"/>
      </w:pPr>
      <w:r>
        <w:t>раннее выявление признаков неисправностей;</w:t>
      </w:r>
    </w:p>
    <w:p>
      <w:pPr>
        <w:pStyle w:val="ListBullet"/>
      </w:pPr>
      <w:r>
        <w:t>расчёт индекса технического состояния и риска отказа;</w:t>
      </w:r>
    </w:p>
    <w:p>
      <w:pPr>
        <w:pStyle w:val="ListBullet"/>
      </w:pPr>
      <w:r>
        <w:t>определение вероятного типа дефекта;</w:t>
      </w:r>
    </w:p>
    <w:p>
      <w:pPr>
        <w:pStyle w:val="ListBullet"/>
      </w:pPr>
      <w:r>
        <w:t>рекомендации для ремонта;</w:t>
      </w:r>
    </w:p>
    <w:p>
      <w:pPr>
        <w:pStyle w:val="ListBullet"/>
      </w:pPr>
      <w:r>
        <w:t>переход к обслуживанию по фактическому состоянию.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