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Actividad formativa 3. Implementación y evaluación de filtros digitales</w:t>
      </w:r>
    </w:p>
    <w:p>
      <w:r>
        <w:t>Nombre del estudiante: __________________________</w:t>
      </w:r>
    </w:p>
    <w:p>
      <w:r>
        <w:t>Asignatura: Procesamiento de Señales / Electrónica</w:t>
      </w:r>
    </w:p>
    <w:p>
      <w:r>
        <w:br/>
      </w:r>
    </w:p>
    <w:p>
      <w:pPr>
        <w:pStyle w:val="Heading2"/>
      </w:pPr>
      <w:r>
        <w:t>Introducción</w:t>
      </w:r>
    </w:p>
    <w:p>
      <w:r>
        <w:t>En esta actividad se implementan y evalúan filtros digitales pasa bajos, pasa altos y pasa bandas. Se generan señales de prueba (suma de senoidales con ruido) y se observa la respuesta en el dominio del tiempo y la frecuencia antes y después del filtrado. Se comparan filtros IIR (Butterworth) y FIR diseñados mediante ventana Hamming.</w:t>
      </w:r>
    </w:p>
    <w:p>
      <w:pPr>
        <w:pStyle w:val="Heading2"/>
      </w:pPr>
      <w:r>
        <w:t>Señal de prueba</w:t>
      </w:r>
    </w:p>
    <w:p>
      <w:r>
        <w:t>Se generó una señal compuesta por senoidales de 50 Hz, 120 Hz y 300 Hz con ruido blanco aditivo. A continuación se muestra la señal en el dominio del tiempo y su espectro:</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signal_original_time.png"/>
                    <pic:cNvPicPr/>
                  </pic:nvPicPr>
                  <pic:blipFill>
                    <a:blip r:embed="rId9"/>
                    <a:stretch>
                      <a:fillRect/>
                    </a:stretch>
                  </pic:blipFill>
                  <pic:spPr>
                    <a:xfrm>
                      <a:off x="0" y="0"/>
                      <a:ext cx="5486400" cy="3291840"/>
                    </a:xfrm>
                    <a:prstGeom prst="rect"/>
                  </pic:spPr>
                </pic:pic>
              </a:graphicData>
            </a:graphic>
          </wp:inline>
        </w:drawing>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signal_original_spectrum.png"/>
                    <pic:cNvPicPr/>
                  </pic:nvPicPr>
                  <pic:blipFill>
                    <a:blip r:embed="rId10"/>
                    <a:stretch>
                      <a:fillRect/>
                    </a:stretch>
                  </pic:blipFill>
                  <pic:spPr>
                    <a:xfrm>
                      <a:off x="0" y="0"/>
                      <a:ext cx="5486400" cy="3291840"/>
                    </a:xfrm>
                    <a:prstGeom prst="rect"/>
                  </pic:spPr>
                </pic:pic>
              </a:graphicData>
            </a:graphic>
          </wp:inline>
        </w:drawing>
      </w:r>
    </w:p>
    <w:p>
      <w:pPr>
        <w:pStyle w:val="Heading2"/>
      </w:pPr>
      <w:r>
        <w:t>Diseño de filtros</w:t>
      </w:r>
    </w:p>
    <w:p>
      <w:r>
        <w:t>Se diseñaron filtros Butterworth de cuarto orden: pasa bajos (100 Hz), pasa altos (200 Hz) y pasa bandas (100–250 Hz). Además, se diseñó un filtro FIR pasa bajos con ventana Hamming (101 coeficientes). Las respuestas en frecuencia de los filtros se muestran a continuación:</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butter_lowpass_freqresp.png"/>
                    <pic:cNvPicPr/>
                  </pic:nvPicPr>
                  <pic:blipFill>
                    <a:blip r:embed="rId11"/>
                    <a:stretch>
                      <a:fillRect/>
                    </a:stretch>
                  </pic:blipFill>
                  <pic:spPr>
                    <a:xfrm>
                      <a:off x="0" y="0"/>
                      <a:ext cx="5486400" cy="3291840"/>
                    </a:xfrm>
                    <a:prstGeom prst="rect"/>
                  </pic:spPr>
                </pic:pic>
              </a:graphicData>
            </a:graphic>
          </wp:inline>
        </w:drawing>
      </w:r>
    </w:p>
    <w:p>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butter_highpass_freqresp.png"/>
                    <pic:cNvPicPr/>
                  </pic:nvPicPr>
                  <pic:blipFill>
                    <a:blip r:embed="rId12"/>
                    <a:stretch>
                      <a:fillRect/>
                    </a:stretch>
                  </pic:blipFill>
                  <pic:spPr>
                    <a:xfrm>
                      <a:off x="0" y="0"/>
                      <a:ext cx="5486400" cy="3291840"/>
                    </a:xfrm>
                    <a:prstGeom prst="rect"/>
                  </pic:spPr>
                </pic:pic>
              </a:graphicData>
            </a:graphic>
          </wp:inline>
        </w:drawing>
      </w:r>
    </w:p>
    <w:p>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butter_bandpass_freqresp.png"/>
                    <pic:cNvPicPr/>
                  </pic:nvPicPr>
                  <pic:blipFill>
                    <a:blip r:embed="rId13"/>
                    <a:stretch>
                      <a:fillRect/>
                    </a:stretch>
                  </pic:blipFill>
                  <pic:spPr>
                    <a:xfrm>
                      <a:off x="0" y="0"/>
                      <a:ext cx="5486400" cy="3291840"/>
                    </a:xfrm>
                    <a:prstGeom prst="rect"/>
                  </pic:spPr>
                </pic:pic>
              </a:graphicData>
            </a:graphic>
          </wp:inline>
        </w:drawing>
      </w:r>
    </w:p>
    <w:p>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fir_lowpass_freqresp.png"/>
                    <pic:cNvPicPr/>
                  </pic:nvPicPr>
                  <pic:blipFill>
                    <a:blip r:embed="rId14"/>
                    <a:stretch>
                      <a:fillRect/>
                    </a:stretch>
                  </pic:blipFill>
                  <pic:spPr>
                    <a:xfrm>
                      <a:off x="0" y="0"/>
                      <a:ext cx="5486400" cy="3291840"/>
                    </a:xfrm>
                    <a:prstGeom prst="rect"/>
                  </pic:spPr>
                </pic:pic>
              </a:graphicData>
            </a:graphic>
          </wp:inline>
        </w:drawing>
      </w:r>
    </w:p>
    <w:p>
      <w:pPr>
        <w:pStyle w:val="Heading2"/>
      </w:pPr>
      <w:r>
        <w:t>Resultados de filtrado</w:t>
      </w:r>
    </w:p>
    <w:p>
      <w:r>
        <w:t>Se aplicó filtrado con filtfilt para evitar desfases (filtro cero-fase). Se presentan gráficas de la señal antes y después del filtrado, y el espectro de la señal filtrada para cada caso:</w:t>
      </w:r>
    </w:p>
    <w:p>
      <w:r>
        <w:t>Butterworth pasa bajos (cutoff 100 Hz):</w:t>
      </w:r>
    </w:p>
    <w:p>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butter_lowpass_time.png"/>
                    <pic:cNvPicPr/>
                  </pic:nvPicPr>
                  <pic:blipFill>
                    <a:blip r:embed="rId15"/>
                    <a:stretch>
                      <a:fillRect/>
                    </a:stretch>
                  </pic:blipFill>
                  <pic:spPr>
                    <a:xfrm>
                      <a:off x="0" y="0"/>
                      <a:ext cx="5486400" cy="3291840"/>
                    </a:xfrm>
                    <a:prstGeom prst="rect"/>
                  </pic:spPr>
                </pic:pic>
              </a:graphicData>
            </a:graphic>
          </wp:inline>
        </w:drawing>
      </w:r>
    </w:p>
    <w:p>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butter_lowpass_spectrum.png"/>
                    <pic:cNvPicPr/>
                  </pic:nvPicPr>
                  <pic:blipFill>
                    <a:blip r:embed="rId16"/>
                    <a:stretch>
                      <a:fillRect/>
                    </a:stretch>
                  </pic:blipFill>
                  <pic:spPr>
                    <a:xfrm>
                      <a:off x="0" y="0"/>
                      <a:ext cx="5486400" cy="3291840"/>
                    </a:xfrm>
                    <a:prstGeom prst="rect"/>
                  </pic:spPr>
                </pic:pic>
              </a:graphicData>
            </a:graphic>
          </wp:inline>
        </w:drawing>
      </w:r>
    </w:p>
    <w:p>
      <w:r>
        <w:t>Butterworth pasa altos (cutoff 200 Hz):</w:t>
      </w:r>
    </w:p>
    <w:p>
      <w:r>
        <w:drawing>
          <wp:inline xmlns:a="http://schemas.openxmlformats.org/drawingml/2006/main" xmlns:pic="http://schemas.openxmlformats.org/drawingml/2006/picture">
            <wp:extent cx="5486400" cy="3291840"/>
            <wp:docPr id="9" name="Picture 9"/>
            <wp:cNvGraphicFramePr>
              <a:graphicFrameLocks noChangeAspect="1"/>
            </wp:cNvGraphicFramePr>
            <a:graphic>
              <a:graphicData uri="http://schemas.openxmlformats.org/drawingml/2006/picture">
                <pic:pic>
                  <pic:nvPicPr>
                    <pic:cNvPr id="0" name="butter_highpass_time.png"/>
                    <pic:cNvPicPr/>
                  </pic:nvPicPr>
                  <pic:blipFill>
                    <a:blip r:embed="rId17"/>
                    <a:stretch>
                      <a:fillRect/>
                    </a:stretch>
                  </pic:blipFill>
                  <pic:spPr>
                    <a:xfrm>
                      <a:off x="0" y="0"/>
                      <a:ext cx="5486400" cy="3291840"/>
                    </a:xfrm>
                    <a:prstGeom prst="rect"/>
                  </pic:spPr>
                </pic:pic>
              </a:graphicData>
            </a:graphic>
          </wp:inline>
        </w:drawing>
      </w:r>
    </w:p>
    <w:p>
      <w:r>
        <w:drawing>
          <wp:inline xmlns:a="http://schemas.openxmlformats.org/drawingml/2006/main" xmlns:pic="http://schemas.openxmlformats.org/drawingml/2006/picture">
            <wp:extent cx="5486400" cy="3291840"/>
            <wp:docPr id="10" name="Picture 10"/>
            <wp:cNvGraphicFramePr>
              <a:graphicFrameLocks noChangeAspect="1"/>
            </wp:cNvGraphicFramePr>
            <a:graphic>
              <a:graphicData uri="http://schemas.openxmlformats.org/drawingml/2006/picture">
                <pic:pic>
                  <pic:nvPicPr>
                    <pic:cNvPr id="0" name="butter_highpass_spectrum.png"/>
                    <pic:cNvPicPr/>
                  </pic:nvPicPr>
                  <pic:blipFill>
                    <a:blip r:embed="rId18"/>
                    <a:stretch>
                      <a:fillRect/>
                    </a:stretch>
                  </pic:blipFill>
                  <pic:spPr>
                    <a:xfrm>
                      <a:off x="0" y="0"/>
                      <a:ext cx="5486400" cy="3291840"/>
                    </a:xfrm>
                    <a:prstGeom prst="rect"/>
                  </pic:spPr>
                </pic:pic>
              </a:graphicData>
            </a:graphic>
          </wp:inline>
        </w:drawing>
      </w:r>
    </w:p>
    <w:p>
      <w:r>
        <w:t>Butterworth pasa bandas (100–250 Hz):</w:t>
      </w:r>
    </w:p>
    <w:p>
      <w:r>
        <w:drawing>
          <wp:inline xmlns:a="http://schemas.openxmlformats.org/drawingml/2006/main" xmlns:pic="http://schemas.openxmlformats.org/drawingml/2006/picture">
            <wp:extent cx="5486400" cy="3291840"/>
            <wp:docPr id="11" name="Picture 11"/>
            <wp:cNvGraphicFramePr>
              <a:graphicFrameLocks noChangeAspect="1"/>
            </wp:cNvGraphicFramePr>
            <a:graphic>
              <a:graphicData uri="http://schemas.openxmlformats.org/drawingml/2006/picture">
                <pic:pic>
                  <pic:nvPicPr>
                    <pic:cNvPr id="0" name="butter_bandpass_time.png"/>
                    <pic:cNvPicPr/>
                  </pic:nvPicPr>
                  <pic:blipFill>
                    <a:blip r:embed="rId19"/>
                    <a:stretch>
                      <a:fillRect/>
                    </a:stretch>
                  </pic:blipFill>
                  <pic:spPr>
                    <a:xfrm>
                      <a:off x="0" y="0"/>
                      <a:ext cx="5486400" cy="3291840"/>
                    </a:xfrm>
                    <a:prstGeom prst="rect"/>
                  </pic:spPr>
                </pic:pic>
              </a:graphicData>
            </a:graphic>
          </wp:inline>
        </w:drawing>
      </w:r>
    </w:p>
    <w:p>
      <w:r>
        <w:drawing>
          <wp:inline xmlns:a="http://schemas.openxmlformats.org/drawingml/2006/main" xmlns:pic="http://schemas.openxmlformats.org/drawingml/2006/picture">
            <wp:extent cx="5486400" cy="3291840"/>
            <wp:docPr id="12" name="Picture 12"/>
            <wp:cNvGraphicFramePr>
              <a:graphicFrameLocks noChangeAspect="1"/>
            </wp:cNvGraphicFramePr>
            <a:graphic>
              <a:graphicData uri="http://schemas.openxmlformats.org/drawingml/2006/picture">
                <pic:pic>
                  <pic:nvPicPr>
                    <pic:cNvPr id="0" name="butter_bandpass_spectrum.png"/>
                    <pic:cNvPicPr/>
                  </pic:nvPicPr>
                  <pic:blipFill>
                    <a:blip r:embed="rId20"/>
                    <a:stretch>
                      <a:fillRect/>
                    </a:stretch>
                  </pic:blipFill>
                  <pic:spPr>
                    <a:xfrm>
                      <a:off x="0" y="0"/>
                      <a:ext cx="5486400" cy="3291840"/>
                    </a:xfrm>
                    <a:prstGeom prst="rect"/>
                  </pic:spPr>
                </pic:pic>
              </a:graphicData>
            </a:graphic>
          </wp:inline>
        </w:drawing>
      </w:r>
    </w:p>
    <w:p>
      <w:r>
        <w:t>FIR pasa bajos (Hamming, 101 taps):</w:t>
      </w:r>
    </w:p>
    <w:p>
      <w:r>
        <w:drawing>
          <wp:inline xmlns:a="http://schemas.openxmlformats.org/drawingml/2006/main" xmlns:pic="http://schemas.openxmlformats.org/drawingml/2006/picture">
            <wp:extent cx="5486400" cy="3291840"/>
            <wp:docPr id="13" name="Picture 13"/>
            <wp:cNvGraphicFramePr>
              <a:graphicFrameLocks noChangeAspect="1"/>
            </wp:cNvGraphicFramePr>
            <a:graphic>
              <a:graphicData uri="http://schemas.openxmlformats.org/drawingml/2006/picture">
                <pic:pic>
                  <pic:nvPicPr>
                    <pic:cNvPr id="0" name="fir_lowpass_time.png"/>
                    <pic:cNvPicPr/>
                  </pic:nvPicPr>
                  <pic:blipFill>
                    <a:blip r:embed="rId21"/>
                    <a:stretch>
                      <a:fillRect/>
                    </a:stretch>
                  </pic:blipFill>
                  <pic:spPr>
                    <a:xfrm>
                      <a:off x="0" y="0"/>
                      <a:ext cx="5486400" cy="3291840"/>
                    </a:xfrm>
                    <a:prstGeom prst="rect"/>
                  </pic:spPr>
                </pic:pic>
              </a:graphicData>
            </a:graphic>
          </wp:inline>
        </w:drawing>
      </w:r>
    </w:p>
    <w:p>
      <w:r>
        <w:drawing>
          <wp:inline xmlns:a="http://schemas.openxmlformats.org/drawingml/2006/main" xmlns:pic="http://schemas.openxmlformats.org/drawingml/2006/picture">
            <wp:extent cx="5486400" cy="3291840"/>
            <wp:docPr id="14" name="Picture 14"/>
            <wp:cNvGraphicFramePr>
              <a:graphicFrameLocks noChangeAspect="1"/>
            </wp:cNvGraphicFramePr>
            <a:graphic>
              <a:graphicData uri="http://schemas.openxmlformats.org/drawingml/2006/picture">
                <pic:pic>
                  <pic:nvPicPr>
                    <pic:cNvPr id="0" name="fir_lowpass_spectrum.png"/>
                    <pic:cNvPicPr/>
                  </pic:nvPicPr>
                  <pic:blipFill>
                    <a:blip r:embed="rId22"/>
                    <a:stretch>
                      <a:fillRect/>
                    </a:stretch>
                  </pic:blipFill>
                  <pic:spPr>
                    <a:xfrm>
                      <a:off x="0" y="0"/>
                      <a:ext cx="5486400" cy="3291840"/>
                    </a:xfrm>
                    <a:prstGeom prst="rect"/>
                  </pic:spPr>
                </pic:pic>
              </a:graphicData>
            </a:graphic>
          </wp:inline>
        </w:drawing>
      </w:r>
    </w:p>
    <w:p>
      <w:pPr>
        <w:pStyle w:val="Heading2"/>
      </w:pPr>
      <w:r>
        <w:t>Análisis y discusión</w:t>
      </w:r>
    </w:p>
    <w:p>
      <w:r>
        <w:t>Los filtros pasa bajos atenúan eficazmente las componentes por encima de 100 Hz (la componente de 300 Hz se reduce notablemente), mientras que el pasa altos enfatiza las componentes de alta frecuencia y atenúa las bajas. El pasa banda permite conservar solo la banda intermedia (100–250 Hz). El filtro FIR exhibe una respuesta de magnitud con menor ondulación en la banda que el IIR, pero requiere más coeficientes.</w:t>
      </w:r>
    </w:p>
    <w:p>
      <w:pPr>
        <w:pStyle w:val="Heading2"/>
      </w:pPr>
      <w:r>
        <w:t>Conclusión</w:t>
      </w:r>
    </w:p>
    <w:p>
      <w:r>
        <w:t>La implementación de filtros digitales en Python utilizando SciPy permite analizar claramente la efectividad de diferentes diseños. El uso de filtfilt evita desfases temporales, siendo recomendable en aplicaciones donde la fase es crítica. Para producción, la selección entre IIR y FIR depende de requisitos de fase, complejidad y recursos de cómputo.</w:t>
      </w:r>
    </w:p>
    <w:p>
      <w:pPr>
        <w:pStyle w:val="Heading2"/>
      </w:pPr>
      <w:r>
        <w:t>Archivos adjuntos para subir a GitHub</w:t>
      </w:r>
    </w:p>
    <w:p>
      <w:r>
        <w:t>- filter_analysis.py (script): /mnt/data/filter_activity_outputs/filter_analysis.py</w:t>
      </w:r>
    </w:p>
    <w:p>
      <w:r>
        <w:t>- README.md: /mnt/data/filter_activity_outputs/README.md</w:t>
      </w:r>
    </w:p>
    <w:p>
      <w:r>
        <w:t>- Carpeta con imágenes: /mnt/data/filter_activity_outputs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