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Прикладний</w:t>
      </w:r>
      <w:r>
        <w:t xml:space="preserve"> </w:t>
      </w:r>
      <w:r>
        <w:t xml:space="preserve">статистичний</w:t>
      </w:r>
      <w:r>
        <w:t xml:space="preserve"> </w:t>
      </w:r>
      <w:r>
        <w:t xml:space="preserve">аналіз</w:t>
      </w:r>
    </w:p>
    <w:p>
      <w:pPr>
        <w:pStyle w:val="Author"/>
      </w:pPr>
      <w:r>
        <w:t xml:space="preserve">Ігор</w:t>
      </w:r>
      <w:r>
        <w:t xml:space="preserve"> </w:t>
      </w:r>
      <w:r>
        <w:t xml:space="preserve">Мірошниченко</w:t>
      </w:r>
    </w:p>
    <w:p>
      <w:pPr>
        <w:pStyle w:val="Author"/>
      </w:pPr>
      <w:r>
        <w:t xml:space="preserve">Юлія</w:t>
      </w:r>
      <w:r>
        <w:t xml:space="preserve"> </w:t>
      </w:r>
      <w:r>
        <w:t xml:space="preserve">Хлевна</w:t>
      </w:r>
    </w:p>
    <w:p>
      <w:pPr>
        <w:pStyle w:val="Date"/>
      </w:pPr>
      <w:r>
        <w:t xml:space="preserve">2025-03-11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Зміст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ередмова"/>
    <w:p>
      <w:pPr>
        <w:pStyle w:val="Heading1"/>
      </w:pPr>
      <w:r>
        <w:t xml:space="preserve">Передмова</w:t>
      </w:r>
    </w:p>
    <w:bookmarkEnd w:id="20"/>
    <w:bookmarkStart w:id="21" w:name="sec-intro"/>
    <w:p>
      <w:pPr>
        <w:pStyle w:val="Heading1"/>
      </w:pPr>
      <w:r>
        <w:t xml:space="preserve">1. Вступ</w:t>
      </w:r>
    </w:p>
    <w:bookmarkEnd w:id="21"/>
    <w:bookmarkStart w:id="31" w:name="sec-binom"/>
    <w:p>
      <w:pPr>
        <w:pStyle w:val="Heading1"/>
      </w:pPr>
      <w:r>
        <w:t xml:space="preserve">2. Біноміальний критерій</w:t>
      </w:r>
    </w:p>
    <w:bookmarkStart w:id="25" w:name="генеральна-сукупність-та-вибірка"/>
    <w:p>
      <w:pPr>
        <w:pStyle w:val="Heading2"/>
      </w:pPr>
      <w:r>
        <w:t xml:space="preserve">2.1 Генеральна сукупність та вибірка</w:t>
      </w:r>
    </w:p>
    <w:p>
      <w:pPr>
        <w:pStyle w:val="FirstParagraph"/>
      </w:pPr>
      <w:r>
        <w:t xml:space="preserve">Ви вирішили створити платформу онлайн-курсів з програмування. Ви записали навчальні відео та запропонували користувачам доступ за передплатою. Вартість курсу для студента становить 1000 рублів, а витрати на підтримку платформи та індивідуальні консультації коштують вам 500 рублів з кожного студента.</w:t>
      </w:r>
    </w:p>
    <w:p>
      <w:pPr>
        <w:pStyle w:val="BodyText"/>
      </w:pPr>
      <w:r>
        <w:t xml:space="preserve">Проте ви помічаєте, що деякі люди відмовляються від курсу після першого заняття, якщо матеріал їм здається складним або нецікавим. Інвестори готові підтримати ваш проєкт, якщо рівень відмов буде нижче 50%.</w:t>
      </w:r>
    </w:p>
    <w:p>
      <w:pPr>
        <w:pStyle w:val="BodyText"/>
      </w:pPr>
      <w:r>
        <w:t xml:space="preserve">Щоб це перевірити, ви проводите експеримент: залучаєте 30 нових студентів. 19 із них проходять курс й оплачують доступ, а 11 відмовляються. 19 — це більше половини, але чи достатньо цього, щоб довести перспективність проєкту?</w:t>
      </w:r>
    </w:p>
    <w:p>
      <w:pPr>
        <w:pStyle w:val="BodyText"/>
      </w:pPr>
      <w:r>
        <w:t xml:space="preserve">Розв’язуючи таку задачу, ми припускаємо, що існує певна аудиторія, яка користуватиметься нашим сервісом. Цю групу називають</w:t>
      </w:r>
      <w:r>
        <w:t xml:space="preserve"> </w:t>
      </w:r>
      <w:r>
        <w:rPr>
          <w:b/>
          <w:bCs/>
        </w:rPr>
        <w:t xml:space="preserve">генеральною сукупністю</w:t>
      </w:r>
      <w:r>
        <w:t xml:space="preserve">. Якщо запустити сервіс для всіх потенційних користувачів, у ньому буде певна частка успішних випадків, позначимо її як</w:t>
      </w:r>
      <w:r>
        <w:t xml:space="preserve"> </w:t>
      </w:r>
      <m:oMath>
        <m:r>
          <m:t>μ</m:t>
        </m:r>
      </m:oMath>
      <w:r>
        <w:t xml:space="preserve">. Це невідомий параметр, який ми не можемо визначити безпосередньо. Натомість ми можемо проводити експерименти та</w:t>
      </w:r>
      <w:r>
        <w:t xml:space="preserve"> </w:t>
      </w:r>
      <w:r>
        <w:rPr>
          <w:b/>
          <w:bCs/>
        </w:rPr>
        <w:t xml:space="preserve">досліджувати</w:t>
      </w:r>
      <w:r>
        <w:t xml:space="preserve"> </w:t>
      </w:r>
      <w:r>
        <w:t xml:space="preserve">результати. Оскільки протестувати продукт на всій аудиторії неможливо, ми беремо</w:t>
      </w:r>
      <w:r>
        <w:t xml:space="preserve"> </w:t>
      </w:r>
      <w:r>
        <w:rPr>
          <w:b/>
          <w:bCs/>
        </w:rPr>
        <w:t xml:space="preserve">вибірку</w:t>
      </w:r>
      <w:r>
        <w:t xml:space="preserve"> </w:t>
      </w:r>
      <w:r>
        <w:t xml:space="preserve">з генеральної сукупності та аналізуємо частку успішних випадків.</w:t>
      </w:r>
    </w:p>
    <w:p>
      <w:pPr>
        <w:pStyle w:val="BodyText"/>
      </w:pPr>
      <w:r>
        <w:t xml:space="preserve">Згідно з результатами нашого експерименту, спостережувана ймовірність оплати становить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  <m:r>
          <m:rPr>
            <m:sty m:val="p"/>
          </m:rPr>
          <m:t>=</m:t>
        </m:r>
        <m:r>
          <m:t>19</m:t>
        </m:r>
        <m:r>
          <m:rPr>
            <m:sty m:val="p"/>
          </m:rPr>
          <m:t>/</m:t>
        </m:r>
        <m:r>
          <m:t>30</m:t>
        </m:r>
        <m:r>
          <m:rPr>
            <m:sty m:val="p"/>
          </m:rPr>
          <m:t>=</m:t>
        </m:r>
        <m:r>
          <m:t>0.63</m:t>
        </m:r>
      </m:oMath>
      <w:r>
        <w:rPr>
          <w:rStyle w:val="FootnoteReference"/>
        </w:rPr>
        <w:footnoteReference w:id="22"/>
      </w:r>
      <w:r>
        <w:t xml:space="preserve">. Це означає, що 63% студентів оплатили доступ. Чи можемо ми зробити висновок, що справжня частка успішних випадків перевищує 50%?</w:t>
      </w:r>
    </w:p>
    <w:p>
      <w:pPr>
        <w:pStyle w:val="BodyText"/>
      </w:pPr>
      <w:r>
        <w:t xml:space="preserve">Розгляньмо, чому отримане значення</w:t>
      </w:r>
      <w:r>
        <w:t xml:space="preserve"> </w:t>
      </w:r>
      <w:r>
        <w:rPr>
          <w:i/>
          <w:iCs/>
        </w:rPr>
        <w:t xml:space="preserve">може не бути</w:t>
      </w:r>
      <w:r>
        <w:t xml:space="preserve"> </w:t>
      </w:r>
      <w:r>
        <w:t xml:space="preserve">переконливим доказом. Припустимо, що ймовірність успішної оплати дорівнює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, і змоделюємо можливі результати для 30 студентів.</w:t>
      </w:r>
    </w:p>
    <w:p>
      <w:pPr>
        <w:pStyle w:val="BodyText"/>
      </w:pPr>
      <w:r>
        <w:t xml:space="preserve">Давайте спростимо цю задачу до прикладу з підкиданням монетки та змоделюємо результати для 30 спроб:</w:t>
      </w:r>
    </w:p>
    <w:p>
      <w:pPr>
        <w:pStyle w:val="Compact"/>
        <w:numPr>
          <w:ilvl w:val="0"/>
          <w:numId w:val="1001"/>
        </w:numPr>
      </w:pPr>
      <w:r>
        <w:t xml:space="preserve">Якщо монетка випаде орлом, студент оплачує доступ.</w:t>
      </w:r>
    </w:p>
    <w:p>
      <w:pPr>
        <w:pStyle w:val="Compact"/>
        <w:numPr>
          <w:ilvl w:val="0"/>
          <w:numId w:val="1001"/>
        </w:numPr>
      </w:pPr>
      <w:r>
        <w:t xml:space="preserve">Якщо монетка випаде решкою, студент відмовляється від курсу.</w:t>
      </w:r>
    </w:p>
    <w:p>
      <w:pPr>
        <w:pStyle w:val="Compact"/>
        <w:numPr>
          <w:ilvl w:val="0"/>
          <w:numId w:val="1001"/>
        </w:numPr>
      </w:pPr>
      <w:r>
        <w:t xml:space="preserve">Використаємо метод</w:t>
      </w:r>
      <w:r>
        <w:t xml:space="preserve"> </w:t>
      </w:r>
      <w:r>
        <w:rPr>
          <w:rStyle w:val="VerbatimChar"/>
        </w:rPr>
        <w:t xml:space="preserve">integers()</w:t>
      </w:r>
      <w:r>
        <w:t xml:space="preserve"> </w:t>
      </w:r>
      <w:r>
        <w:t xml:space="preserve">до класу</w:t>
      </w:r>
      <w:r>
        <w:t xml:space="preserve"> </w:t>
      </w:r>
      <w:r>
        <w:rPr>
          <w:rStyle w:val="VerbatimChar"/>
        </w:rPr>
        <w:t xml:space="preserve">Generator</w:t>
      </w:r>
      <w:r>
        <w:t xml:space="preserve">, яка генерує випадкові цілі числа в заданому діапазоні.</w:t>
      </w:r>
    </w:p>
    <w:p>
      <w:pPr>
        <w:pStyle w:val="Compact"/>
        <w:numPr>
          <w:ilvl w:val="0"/>
          <w:numId w:val="1001"/>
        </w:numPr>
      </w:pPr>
      <w:r>
        <w:t xml:space="preserve">Підкинемо монетку 30 разів та порахуємо кількість успішних випадків.</w:t>
      </w:r>
    </w:p>
    <w:bookmarkStart w:id="23" w:name="annotated-cell-1"/>
    <w:p>
      <w:pPr>
        <w:pStyle w:val="SourceCode"/>
      </w:pPr>
      <w:r>
        <w:rPr>
          <w:rStyle w:val="NormalTok"/>
        </w:rPr>
        <w:t xml:space="preserve">rng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np.random.default_rng(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rng.integers(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endpoint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(results)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f"Кількість успішних випадків: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(success,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</w:p>
    <w:bookmarkEnd w:id="23"/>
    <w:p>
      <w:pPr>
        <w:pStyle w:val="DefinitionTerm"/>
      </w:pPr>
      <w:r>
        <w:t xml:space="preserve">Лінія 1</w:t>
      </w:r>
    </w:p>
    <w:p>
      <w:pPr>
        <w:pStyle w:val="Definition"/>
      </w:pPr>
      <w:r>
        <w:t xml:space="preserve">Ініціалізуємо генератор випадкових чисел з фіксованим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.</w:t>
      </w:r>
    </w:p>
    <w:p>
      <w:pPr>
        <w:pStyle w:val="DefinitionTerm"/>
      </w:pPr>
      <w:r>
        <w:t xml:space="preserve">Лінія 3</w:t>
      </w:r>
    </w:p>
    <w:p>
      <w:pPr>
        <w:pStyle w:val="Definition"/>
      </w:pPr>
      <w:r>
        <w:t xml:space="preserve">Кількість студентів.</w:t>
      </w:r>
    </w:p>
    <w:p>
      <w:pPr>
        <w:pStyle w:val="DefinitionTerm"/>
      </w:pPr>
      <w:r>
        <w:t xml:space="preserve">Лінія 4</w:t>
      </w:r>
    </w:p>
    <w:p>
      <w:pPr>
        <w:pStyle w:val="Definition"/>
      </w:pPr>
      <w:r>
        <w:t xml:space="preserve">Генеруємо випадкові числа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для кожного студента.</w:t>
      </w:r>
    </w:p>
    <w:p>
      <w:pPr>
        <w:pStyle w:val="DefinitionTerm"/>
      </w:pPr>
      <w:r>
        <w:t xml:space="preserve">Лінія 5</w:t>
      </w:r>
    </w:p>
    <w:p>
      <w:pPr>
        <w:pStyle w:val="Definition"/>
      </w:pPr>
      <w:r>
        <w:t xml:space="preserve">Обчислюємо частку успішних випадків.</w:t>
      </w:r>
    </w:p>
    <w:p>
      <w:pPr>
        <w:pStyle w:val="DefinitionTerm"/>
      </w:pPr>
      <w:r>
        <w:t xml:space="preserve">Лінія 7</w:t>
      </w:r>
    </w:p>
    <w:p>
      <w:pPr>
        <w:pStyle w:val="Definition"/>
      </w:pPr>
      <w:r>
        <w:t xml:space="preserve">Виводимо результат.</w:t>
      </w:r>
    </w:p>
    <w:p>
      <w:pPr>
        <w:pStyle w:val="SourceCode"/>
      </w:pPr>
      <w:r>
        <w:rPr>
          <w:rStyle w:val="VerbatimChar"/>
        </w:rPr>
        <w:t xml:space="preserve">Кількість успішних випадків: 70.0%</w:t>
      </w:r>
    </w:p>
    <w:p>
      <w:pPr>
        <w:pStyle w:val="FirstParagraph"/>
      </w:pPr>
      <w:r>
        <w:t xml:space="preserve">Ми бачимо, що в експерименті частка успішних випадків навіть перевищила 63%, тоді як у симуляції була закладена ймовірність 50%.</w:t>
      </w:r>
    </w:p>
    <w:p>
      <w:pPr>
        <w:pStyle w:val="BodyText"/>
      </w:pPr>
      <w:r>
        <w:t xml:space="preserve">Тому, на жаль, ми не можемо з абсолютною точністю визначити, яким є справжнє значення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у генеральній сукупності та чи перевищує воно 50%, незалежно від того, скільки спостережень ми проводимо. Однак, застосовуючи методи прикладної статистики, ми зможемо використати інструменти, які допоможуть ухвалити правильне рішення, зокрема й у цьому випадку.</w:t>
      </w:r>
    </w:p>
    <w:bookmarkEnd w:id="25"/>
    <w:bookmarkStart w:id="30" w:name="статистичні-гіпотези"/>
    <w:p>
      <w:pPr>
        <w:pStyle w:val="Heading2"/>
      </w:pPr>
      <w:r>
        <w:t xml:space="preserve">2.2 Статистичні гіпотези</w:t>
      </w:r>
    </w:p>
    <w:p>
      <w:pPr>
        <w:pStyle w:val="FirstParagraph"/>
      </w:pPr>
      <w:r>
        <w:t xml:space="preserve">Ми з’ясували, що навіть за ймовірності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можна отримати значну кількість успішних випадків. Насправді ми спеціально підбирали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для отримання такого результату. Якщо повторити цей експеримент з іншим значенням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або збільшити кількість спостережень, результат може виявитися іншим.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Users\ihorm\AppData\Local\Programs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Порада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Спробуйте змінити</w:t>
            </w:r>
            <w:r>
              <w:t xml:space="preserve"> </w:t>
            </w:r>
            <w:r>
              <w:rPr>
                <w:rStyle w:val="VerbatimChar"/>
              </w:rPr>
              <w:t xml:space="preserve">seed</w:t>
            </w:r>
            <w:r>
              <w:t xml:space="preserve"> </w:t>
            </w:r>
            <w:r>
              <w:t xml:space="preserve">(наприклад 22) або кількість спостережень та перевірте, як змінюється результат.</w:t>
            </w:r>
          </w:p>
        </w:tc>
      </w:tr>
    </w:tbl>
    <w:p>
      <w:pPr>
        <w:pStyle w:val="BodyText"/>
      </w:pPr>
      <w:r>
        <w:t xml:space="preserve">Тож велика кількість успішних випадків може бути результатом випадковості. Щоб вирішити, чи можна вважати результати експерименту</w:t>
      </w:r>
      <w:r>
        <w:t xml:space="preserve"> </w:t>
      </w:r>
      <w:r>
        <w:rPr>
          <w:b/>
          <w:bCs/>
        </w:rPr>
        <w:t xml:space="preserve">статистично значущими</w:t>
      </w:r>
      <w:r>
        <w:t xml:space="preserve"> </w:t>
      </w:r>
      <w:r>
        <w:t xml:space="preserve">необхідно отримати відповідь на питання:</w:t>
      </w:r>
    </w:p>
    <w:p>
      <w:pPr>
        <w:pStyle w:val="BlockText"/>
      </w:pPr>
      <w:r>
        <w:t xml:space="preserve">Чи можна вважати, що спостережуване значення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є більшим від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?</w:t>
      </w:r>
    </w:p>
    <w:p>
      <w:pPr>
        <w:pStyle w:val="FirstParagraph"/>
      </w:pPr>
      <w:r>
        <w:t xml:space="preserve">Звернімося до теорії ймовірностей. Факт підписки на наш сервіс для кожного окремого студента можна розглядати як випадкову величину</w:t>
      </w:r>
      <w:r>
        <w:t xml:space="preserve"> </w:t>
      </w:r>
      <m:oMath>
        <m:r>
          <m:t>ξ</m:t>
        </m:r>
      </m:oMath>
      <w:r>
        <w:t xml:space="preserve">, яка підпорядковується розподілу Бернуллі</w:t>
      </w:r>
      <w:r>
        <w:rPr>
          <w:rStyle w:val="FootnoteReference"/>
        </w:rPr>
        <w:footnoteReference w:id="29"/>
      </w:r>
      <w:r>
        <w:t xml:space="preserve">. Параметр цього розподілу, а саме ймовірність успіху, нам невідомий.</w:t>
      </w:r>
    </w:p>
    <w:p>
      <w:pPr>
        <w:pStyle w:val="BodyText"/>
      </w:pPr>
      <m:oMathPara>
        <m:oMathParaPr>
          <m:jc m:val="center"/>
        </m:oMathParaPr>
        <m:oMath>
          <m:r>
            <m:t>ξ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Bernoulli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</m:e>
          </m:d>
        </m:oMath>
      </m:oMathPara>
    </w:p>
    <w:p>
      <w:pPr>
        <w:pStyle w:val="FirstParagraph"/>
      </w:pPr>
      <w:r>
        <w:t xml:space="preserve">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ймовірність успіху.</w:t>
      </w:r>
    </w:p>
    <w:p>
      <w:pPr>
        <w:pStyle w:val="BodyText"/>
      </w:pPr>
      <w:r>
        <w:t xml:space="preserve">Нас цікавить підтвердження того, що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0.5</m:t>
        </m:r>
      </m:oMath>
      <w:r>
        <w:t xml:space="preserve">. У статистиці для перевірки гіпотез розглядають дві можливості: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Нульова гіпотеза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 формулюється як твердження, яке ми прагнемо спростувати.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Альтернативна гіпотеза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 висловлює припущення, яке ми хочемо довести.</w:t>
      </w:r>
    </w:p>
    <w:p>
      <w:pPr>
        <w:pStyle w:val="FirstParagraph"/>
      </w:pPr>
      <w:r>
        <w:t xml:space="preserve">Скорочено це записують як: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μ</m:t>
                </m:r>
                <m:r>
                  <m:rPr>
                    <m:sty m:val="p"/>
                  </m:rPr>
                  <m:t>≤</m:t>
                </m:r>
                <m:r>
                  <m:t>0.5</m:t>
                </m:r>
              </m:e>
            </m:m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μ</m:t>
                </m:r>
                <m:r>
                  <m:rPr>
                    <m:sty m:val="p"/>
                  </m:rPr>
                  <m:t>&gt;</m:t>
                </m:r>
                <m:r>
                  <m:t>0.5</m:t>
                </m:r>
              </m:e>
            </m:mr>
          </m:m>
        </m:oMath>
      </m:oMathPara>
    </w:p>
    <w:p>
      <w:pPr>
        <w:pStyle w:val="FirstParagraph"/>
      </w:pPr>
      <w:r>
        <w:t xml:space="preserve">Якщо ми проводимо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спостережень, то сума цих випадкових величин також підпорядковується біноміальному розподілу.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ξ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∼</m:t>
          </m:r>
          <m:r>
            <m:rPr>
              <m:nor/>
              <m:sty m:val="p"/>
            </m:rPr>
            <m:t>Binomial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,</m:t>
              </m:r>
              <m:r>
                <m:t>μ</m:t>
              </m:r>
            </m:e>
          </m:d>
        </m:oMath>
      </m:oMathPara>
    </w:p>
    <w:bookmarkEnd w:id="30"/>
    <w:bookmarkEnd w:id="31"/>
    <w:bookmarkStart w:id="32" w:name="sec-z-test"/>
    <w:p>
      <w:pPr>
        <w:pStyle w:val="Heading1"/>
      </w:pPr>
      <w:r>
        <w:t xml:space="preserve">3. </w:t>
      </w:r>
      <m:oMath>
        <m:r>
          <m:t>Z</m:t>
        </m:r>
      </m:oMath>
      <w:r>
        <w:t xml:space="preserve">-критерій Фішера</w:t>
      </w:r>
    </w:p>
    <w:bookmarkEnd w:id="32"/>
    <w:bookmarkStart w:id="33" w:name="sec-t-test"/>
    <w:p>
      <w:pPr>
        <w:pStyle w:val="Heading1"/>
      </w:pPr>
      <w:r>
        <w:t xml:space="preserve">4. </w:t>
      </w:r>
      <m:oMath>
        <m:r>
          <m:t>t</m:t>
        </m:r>
      </m:oMath>
      <w:r>
        <w:t xml:space="preserve">-критерій Стьюдента</w:t>
      </w:r>
    </w:p>
    <w:bookmarkEnd w:id="33"/>
    <w:bookmarkStart w:id="34" w:name="sec-monte-carlo"/>
    <w:p>
      <w:pPr>
        <w:pStyle w:val="Heading1"/>
      </w:pPr>
      <w:r>
        <w:t xml:space="preserve">5. Монте-Карло в задачах статистики</w:t>
      </w:r>
    </w:p>
    <w:bookmarkEnd w:id="34"/>
    <w:bookmarkStart w:id="35" w:name="sec-kolmogorov"/>
    <w:p>
      <w:pPr>
        <w:pStyle w:val="Heading1"/>
      </w:pPr>
      <w:r>
        <w:t xml:space="preserve">6. Критерій Колмогорова</w:t>
      </w:r>
    </w:p>
    <w:bookmarkEnd w:id="35"/>
    <w:bookmarkStart w:id="36" w:name="sec-chi-sq"/>
    <w:p>
      <w:pPr>
        <w:pStyle w:val="Heading1"/>
      </w:pPr>
      <w:r>
        <w:t xml:space="preserve">7. Критерій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Пірсона</w:t>
      </w:r>
    </w:p>
    <w:bookmarkEnd w:id="36"/>
    <w:bookmarkStart w:id="37" w:name="sec-mann-whitney"/>
    <w:p>
      <w:pPr>
        <w:pStyle w:val="Heading1"/>
      </w:pPr>
      <w:r>
        <w:t xml:space="preserve">8. U-критерій Манна-Уітні</w:t>
      </w:r>
    </w:p>
    <w:bookmarkEnd w:id="37"/>
    <w:bookmarkStart w:id="38" w:name="sec-bootstrap"/>
    <w:p>
      <w:pPr>
        <w:pStyle w:val="Heading1"/>
      </w:pPr>
      <w:r>
        <w:t xml:space="preserve">9. Бутстреп</w:t>
      </w:r>
    </w:p>
    <w:bookmarkEnd w:id="38"/>
    <w:bookmarkStart w:id="39" w:name="підсумки"/>
    <w:p>
      <w:pPr>
        <w:pStyle w:val="Heading1"/>
      </w:pPr>
      <w:r>
        <w:t xml:space="preserve">10. Підсумки</w:t>
      </w:r>
    </w:p>
    <w:bookmarkEnd w:id="39"/>
    <w:bookmarkStart w:id="41" w:name="список-літератури"/>
    <w:p>
      <w:pPr>
        <w:pStyle w:val="Heading1"/>
      </w:pPr>
      <w:r>
        <w:t xml:space="preserve">Список літератури</w:t>
      </w:r>
    </w:p>
    <w:bookmarkStart w:id="40" w:name="refs"/>
    <w:bookmarkEnd w:id="40"/>
    <w:bookmarkEnd w:id="41"/>
    <w:sectPr w:rsidR="007077A0" w:rsidSect="002C71AD">
      <w:pgSz w:code="9" w:h="16840" w:w="11907"/>
      <w:pgMar w:bottom="1134" w:footer="709" w:gutter="0" w:header="709" w:left="1021" w:right="1021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У статистиці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позначається як оцінка параметра</w:t>
      </w:r>
      <w:r>
        <w:t xml:space="preserve"> </w:t>
      </w:r>
      <m:oMath>
        <m:r>
          <m:t>μ</m:t>
        </m:r>
      </m:oMath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Метод</w:t>
      </w:r>
      <w:r>
        <w:t xml:space="preserve"> </w:t>
      </w:r>
      <w:r>
        <w:rPr>
          <w:rStyle w:val="VerbatimChar"/>
        </w:rPr>
        <w:t xml:space="preserve">integers()</w:t>
      </w:r>
      <w:r>
        <w:t xml:space="preserve"> </w:t>
      </w:r>
      <w:r>
        <w:t xml:space="preserve">генерує випадкові цілі числа в заданому діапазоні. Аргумент</w:t>
      </w:r>
      <w:r>
        <w:t xml:space="preserve"> </w:t>
      </w:r>
      <w:r>
        <w:rPr>
          <w:rStyle w:val="VerbatimChar"/>
        </w:rPr>
        <w:t xml:space="preserve">endpoint</w:t>
      </w:r>
      <w:r>
        <w:t xml:space="preserve"> </w:t>
      </w:r>
      <w:r>
        <w:t xml:space="preserve">вказує, що верхня межа включається у діапазон.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Розподіл Бернуллі — це дискретний розподіл ймовірностей, який моделює випадковий експеримент з двома можливими результатами: успіхом або невдачею.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A18AC0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88421868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7A0"/>
    <w:rsid w:val="000A67E9"/>
    <w:rsid w:val="002C71AD"/>
    <w:rsid w:val="003D764F"/>
    <w:rsid w:val="006056E3"/>
    <w:rsid w:val="007077A0"/>
    <w:rsid w:val="007728AE"/>
    <w:rsid w:val="008B5E99"/>
    <w:rsid w:val="00A212AD"/>
    <w:rsid w:val="00A960DC"/>
    <w:rsid w:val="00B756CA"/>
    <w:rsid w:val="00CA67CB"/>
    <w:rsid w:val="00DA100B"/>
    <w:rsid w:val="00E803E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ua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6056E3"/>
    <w:pPr>
      <w:keepNext/>
      <w:keepLines/>
      <w:spacing w:after="80" w:before="360"/>
      <w:outlineLvl w:val="0"/>
    </w:pPr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6056E3"/>
    <w:pPr>
      <w:keepNext/>
      <w:keepLines/>
      <w:spacing w:after="80" w:before="160"/>
      <w:outlineLvl w:val="1"/>
    </w:pPr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056E3"/>
    <w:pPr>
      <w:keepNext/>
      <w:keepLines/>
      <w:spacing w:after="80" w:before="160"/>
      <w:outlineLvl w:val="2"/>
    </w:pPr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056E3"/>
    <w:pPr>
      <w:keepNext/>
      <w:keepLines/>
      <w:spacing w:after="40" w:before="80"/>
      <w:outlineLvl w:val="3"/>
    </w:pPr>
    <w:rPr>
      <w:rFonts w:ascii="Calibri" w:cstheme="majorBidi" w:eastAsiaTheme="majorEastAsia" w:hAnsi="Calibri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056E3"/>
    <w:pPr>
      <w:keepNext/>
      <w:keepLines/>
      <w:spacing w:after="40" w:before="80"/>
      <w:outlineLvl w:val="4"/>
    </w:pPr>
    <w:rPr>
      <w:rFonts w:ascii="Calibri" w:cstheme="majorBidi" w:eastAsiaTheme="majorEastAsia" w:hAnsi="Calibri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056E3"/>
    <w:pPr>
      <w:keepNext/>
      <w:keepLines/>
      <w:spacing w:after="0" w:before="40"/>
      <w:outlineLvl w:val="5"/>
    </w:pPr>
    <w:rPr>
      <w:rFonts w:ascii="Calibri" w:cstheme="majorBidi" w:eastAsiaTheme="majorEastAsia" w:hAnsi="Calibri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056E3"/>
    <w:pPr>
      <w:keepNext/>
      <w:keepLines/>
      <w:spacing w:after="0" w:before="40"/>
      <w:outlineLvl w:val="6"/>
    </w:pPr>
    <w:rPr>
      <w:rFonts w:ascii="Calibri" w:cstheme="majorBidi" w:eastAsiaTheme="majorEastAsia" w:hAnsi="Calibri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056E3"/>
    <w:pPr>
      <w:keepNext/>
      <w:keepLines/>
      <w:spacing w:after="0"/>
      <w:outlineLvl w:val="7"/>
    </w:pPr>
    <w:rPr>
      <w:rFonts w:ascii="Calibri" w:cstheme="majorBidi" w:eastAsiaTheme="majorEastAsia" w:hAnsi="Calibri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056E3"/>
    <w:pPr>
      <w:keepNext/>
      <w:keepLines/>
      <w:spacing w:after="0"/>
      <w:outlineLvl w:val="8"/>
    </w:pPr>
    <w:rPr>
      <w:rFonts w:ascii="Calibri" w:cstheme="majorBidi" w:eastAsiaTheme="majorEastAsia" w:hAnsi="Calibr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B756CA"/>
    <w:pPr>
      <w:spacing w:after="180" w:before="180"/>
      <w:jc w:val="both"/>
    </w:pPr>
    <w:rPr>
      <w:rFonts w:ascii="PT Serif" w:hAnsi="PT Serif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6056E3"/>
    <w:pPr>
      <w:spacing w:after="80"/>
      <w:contextualSpacing/>
      <w:jc w:val="center"/>
    </w:pPr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056E3"/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6056E3"/>
    <w:pPr>
      <w:numPr>
        <w:ilvl w:val="1"/>
      </w:numPr>
    </w:pPr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056E3"/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Author" w:type="paragraph">
    <w:name w:val="Author"/>
    <w:next w:val="BodyText"/>
    <w:qFormat/>
    <w:rsid w:val="006056E3"/>
    <w:pPr>
      <w:keepNext/>
      <w:keepLines/>
      <w:jc w:val="center"/>
    </w:pPr>
    <w:rPr>
      <w:rFonts w:ascii="PT Serif" w:hAnsi="PT Serif"/>
    </w:rPr>
  </w:style>
  <w:style w:styleId="Date" w:type="paragraph">
    <w:name w:val="Date"/>
    <w:next w:val="BodyText"/>
    <w:qFormat/>
    <w:rsid w:val="006056E3"/>
    <w:pPr>
      <w:keepNext/>
      <w:keepLines/>
      <w:jc w:val="center"/>
    </w:pPr>
    <w:rPr>
      <w:rFonts w:ascii="PT Sans" w:hAnsi="PT Sans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056E3"/>
    <w:pPr>
      <w:keepNext/>
      <w:keepLines/>
      <w:spacing w:after="300" w:before="100"/>
    </w:pPr>
    <w:rPr>
      <w:color w:val="3A3A3A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056E3"/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6056E3"/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056E3"/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056E3"/>
    <w:rPr>
      <w:rFonts w:ascii="Calibri" w:cstheme="majorBidi" w:eastAsiaTheme="majorEastAsia" w:hAnsi="Calibr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056E3"/>
    <w:rPr>
      <w:rFonts w:ascii="Calibri" w:cstheme="majorBidi" w:eastAsiaTheme="majorEastAsia" w:hAnsi="Calibr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056E3"/>
    <w:rPr>
      <w:rFonts w:ascii="Calibri" w:cstheme="majorBidi" w:eastAsiaTheme="majorEastAsia" w:hAnsi="Calibr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056E3"/>
    <w:rPr>
      <w:rFonts w:ascii="Calibri" w:cstheme="majorBidi" w:eastAsiaTheme="majorEastAsia" w:hAnsi="Calibri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6056E3"/>
    <w:rPr>
      <w:rFonts w:ascii="Source Code Pro" w:hAnsi="Source Code Pro"/>
      <w:color w:val="B93ABA"/>
      <w:sz w:val="22"/>
      <w:bdr w:color="auto" w:space="0" w:sz="0" w:val="none"/>
      <w:shd w:color="auto" w:fill="F5F5F5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C71AD"/>
    <w:rPr>
      <w:rFonts w:ascii="PT Sans" w:hAnsi="PT Sans"/>
      <w:color w:val="1D5C96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66</Words>
  <Characters>359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Прикладний статистичний аналіз</dc:title>
  <dc:creator>Ігор Мірошниченко; Юлія Хлевна</dc:creator>
  <dc:language>ua</dc:language>
  <cp:keywords/>
  <dcterms:created xsi:type="dcterms:W3CDTF">2025-03-11T13:09:17Z</dcterms:created>
  <dcterms:modified xsi:type="dcterms:W3CDTF">2025-03-11T13:09:17Z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date">
    <vt:lpwstr>2025-03-11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Зміст</vt:lpwstr>
  </property>
</Properties>
</file>