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375.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383.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90.png" ContentType="image/png"/>
  <Override PartName="/word/media/rId350.png" ContentType="image/png"/>
  <Override PartName="/word/media/rId307.png" ContentType="image/png"/>
  <Override PartName="/word/media/rId323.png" ContentType="image/png"/>
  <Override PartName="/word/media/rId274.png" ContentType="image/png"/>
  <Override PartName="/word/media/rId294.png" ContentType="image/png"/>
  <Override PartName="/word/media/rId327.png" ContentType="image/png"/>
  <Override PartName="/word/media/rId335.png" ContentType="image/png"/>
  <Override PartName="/word/media/rId339.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2025-04-16</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40"/>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4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43"/>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52"/>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83"/>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3.6112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0.0730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102"/>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103"/>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104"/>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105"/>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107"/>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108"/>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112"/>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11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115"/>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116"/>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2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25"/>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81"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FirstParagraph"/>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6"/>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8"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chi2"/>
          <w:p>
            <w:pPr>
              <w:pStyle w:val="Compact"/>
              <w:jc w:val="center"/>
            </w:pPr>
            <w:r>
              <w:drawing>
                <wp:inline>
                  <wp:extent cx="6261100" cy="3028061"/>
                  <wp:effectExtent b="0" l="0" r="0" t="0"/>
                  <wp:docPr descr="" title="" id="291" name="Picture"/>
                  <a:graphic>
                    <a:graphicData uri="http://schemas.openxmlformats.org/drawingml/2006/picture">
                      <pic:pic>
                        <pic:nvPicPr>
                          <pic:cNvPr descr="t-test_files/figure-docx/fig-chi2-output-1.png" id="292" name="Picture"/>
                          <pic:cNvPicPr>
                            <a:picLocks noChangeArrowheads="1" noChangeAspect="1"/>
                          </pic:cNvPicPr>
                        </pic:nvPicPr>
                        <pic:blipFill>
                          <a:blip r:embed="rId290"/>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3"/>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7" w:name="fig-t-test-dist"/>
          <w:p>
            <w:pPr>
              <w:pStyle w:val="Compact"/>
              <w:jc w:val="center"/>
            </w:pPr>
            <w:r>
              <w:drawing>
                <wp:inline>
                  <wp:extent cx="6261100" cy="3046695"/>
                  <wp:effectExtent b="0" l="0" r="0" t="0"/>
                  <wp:docPr descr="" title="" id="295" name="Picture"/>
                  <a:graphic>
                    <a:graphicData uri="http://schemas.openxmlformats.org/drawingml/2006/picture">
                      <pic:pic>
                        <pic:nvPicPr>
                          <pic:cNvPr descr="t-test_files/figure-docx/fig-t-test-dist-output-1.png" id="296" name="Picture"/>
                          <pic:cNvPicPr>
                            <a:picLocks noChangeArrowheads="1" noChangeAspect="1"/>
                          </pic:cNvPicPr>
                        </pic:nvPicPr>
                        <pic:blipFill>
                          <a:blip r:embed="rId29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7"/>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8"/>
    <w:bookmarkStart w:id="304"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0"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9"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9"/>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0"/>
    <w:bookmarkStart w:id="303"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1"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1"/>
    </w:p>
    <w:p>
      <w:pPr>
        <w:pStyle w:val="FirstParagraph"/>
      </w:pPr>
      <w:r>
        <w:t xml:space="preserve">Тоді</w:t>
      </w:r>
    </w:p>
    <w:p>
      <w:pPr>
        <w:pStyle w:val="BodyText"/>
      </w:pPr>
      <w:bookmarkStart w:id="302"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2"/>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3"/>
    <w:bookmarkEnd w:id="304"/>
    <w:bookmarkStart w:id="305"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5"/>
    <w:bookmarkStart w:id="332"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6"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6"/>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0" w:name="fig-profit"/>
          <w:p>
            <w:pPr>
              <w:pStyle w:val="Compact"/>
              <w:jc w:val="center"/>
            </w:pPr>
            <w:r>
              <w:drawing>
                <wp:inline>
                  <wp:extent cx="6261100" cy="2974481"/>
                  <wp:effectExtent b="0" l="0" r="0" t="0"/>
                  <wp:docPr descr="" title="" id="308" name="Picture"/>
                  <a:graphic>
                    <a:graphicData uri="http://schemas.openxmlformats.org/drawingml/2006/picture">
                      <pic:pic>
                        <pic:nvPicPr>
                          <pic:cNvPr descr="t-test_files/figure-docx/fig-profit-output-1.png" id="309" name="Picture"/>
                          <pic:cNvPicPr>
                            <a:picLocks noChangeArrowheads="1" noChangeAspect="1"/>
                          </pic:cNvPicPr>
                        </pic:nvPicPr>
                        <pic:blipFill>
                          <a:blip r:embed="rId307"/>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0"/>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44"/>
        </w:numPr>
      </w:pPr>
      <w:r>
        <w:t xml:space="preserve">Початкова вибірка не з нормального розподілу</w:t>
      </w:r>
    </w:p>
    <w:p>
      <w:pPr>
        <w:pStyle w:val="Compact"/>
        <w:numPr>
          <w:ilvl w:val="0"/>
          <w:numId w:val="1044"/>
        </w:numPr>
      </w:pPr>
      <w:r>
        <w:t xml:space="preserve">Вибірка досить велика: не 7 елементів, а вже 5000.</w:t>
      </w:r>
    </w:p>
    <w:bookmarkStart w:id="331"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4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1">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2">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46"/>
        </w:numPr>
      </w:pPr>
      <w:r>
        <w:t xml:space="preserve">А в цьому випадку існує</w:t>
      </w:r>
      <w:r>
        <w:t xml:space="preserve"> </w:t>
      </w:r>
      <w:hyperlink r:id="rId313">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5"/>
        </w:numPr>
      </w:pPr>
      <m:oMath>
        <m:r>
          <m:t>t</m:t>
        </m:r>
        <m:r>
          <m:rPr>
            <m:sty m:val="p"/>
          </m:rPr>
          <m:t>=</m:t>
        </m:r>
        <m:r>
          <m:t>ξ</m:t>
        </m:r>
        <m:r>
          <m:rPr>
            <m:sty m:val="p"/>
          </m:rPr>
          <m:t>⋅</m:t>
        </m:r>
        <m:r>
          <m:t>ϕ</m:t>
        </m:r>
      </m:oMath>
      <w:r>
        <w:t xml:space="preserve">.</w:t>
      </w:r>
    </w:p>
    <w:p>
      <w:pPr>
        <w:pStyle w:val="Compact"/>
        <w:numPr>
          <w:ilvl w:val="1"/>
          <w:numId w:val="104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47"/>
        </w:numPr>
      </w:pPr>
      <m:oMath>
        <m:r>
          <m:t>ϕ</m:t>
        </m:r>
        <m:limUpp>
          <m:e>
            <m:r>
              <m:rPr>
                <m:sty m:val="p"/>
              </m:rPr>
              <m:t>→</m:t>
            </m:r>
          </m:e>
          <m:lim>
            <m:r>
              <m:t>p</m:t>
            </m:r>
          </m:lim>
        </m:limUpp>
        <m:r>
          <m:t>1</m:t>
        </m:r>
      </m:oMath>
    </w:p>
    <w:p>
      <w:pPr>
        <w:pStyle w:val="Compact"/>
        <w:numPr>
          <w:ilvl w:val="1"/>
          <w:numId w:val="1047"/>
        </w:numPr>
      </w:pPr>
      <w:r>
        <w:t xml:space="preserve">І тут набуває чинності ще одна</w:t>
      </w:r>
      <w:r>
        <w:t xml:space="preserve"> </w:t>
      </w:r>
      <w:hyperlink r:id="rId314">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4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5" name="Picture"/>
                  <a:graphic>
                    <a:graphicData uri="http://schemas.openxmlformats.org/drawingml/2006/picture">
                      <pic:pic>
                        <pic:nvPicPr>
                          <pic:cNvPr descr="C:\Users\ihorm\AppData\Local\Programs\Quarto\share\formats\docx\note.png" id="316"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7"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8"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8"/>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9"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0"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1"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2"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6" w:name="fig-profit-test"/>
          <w:p>
            <w:pPr>
              <w:pStyle w:val="Compact"/>
              <w:jc w:val="center"/>
            </w:pPr>
            <w:r>
              <w:drawing>
                <wp:inline>
                  <wp:extent cx="6261100" cy="3018744"/>
                  <wp:effectExtent b="0" l="0" r="0" t="0"/>
                  <wp:docPr descr="" title="" id="324" name="Picture"/>
                  <a:graphic>
                    <a:graphicData uri="http://schemas.openxmlformats.org/drawingml/2006/picture">
                      <pic:pic>
                        <pic:nvPicPr>
                          <pic:cNvPr descr="t-test_files/figure-docx/fig-profit-test-output-1.png" id="325" name="Picture"/>
                          <pic:cNvPicPr>
                            <a:picLocks noChangeArrowheads="1" noChangeAspect="1"/>
                          </pic:cNvPicPr>
                        </pic:nvPicPr>
                        <pic:blipFill>
                          <a:blip r:embed="rId32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6"/>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0" w:name="fig-t-test-dist2"/>
          <w:p>
            <w:pPr>
              <w:pStyle w:val="Compact"/>
              <w:jc w:val="center"/>
            </w:pPr>
            <w:r>
              <w:drawing>
                <wp:inline>
                  <wp:extent cx="6261100" cy="3018744"/>
                  <wp:effectExtent b="0" l="0" r="0" t="0"/>
                  <wp:docPr descr="" title="" id="328" name="Picture"/>
                  <a:graphic>
                    <a:graphicData uri="http://schemas.openxmlformats.org/drawingml/2006/picture">
                      <pic:pic>
                        <pic:nvPicPr>
                          <pic:cNvPr descr="t-test_files/figure-docx/fig-t-test-dist2-output-1.png" id="329" name="Picture"/>
                          <pic:cNvPicPr>
                            <a:picLocks noChangeArrowheads="1" noChangeAspect="1"/>
                          </pic:cNvPicPr>
                        </pic:nvPicPr>
                        <pic:blipFill>
                          <a:blip r:embed="rId32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0"/>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1"/>
    <w:bookmarkEnd w:id="332"/>
    <w:bookmarkStart w:id="334"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3"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3"/>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4"/>
    <w:bookmarkStart w:id="345"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4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49"/>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8" w:name="fig-t-test-dist3"/>
          <w:p>
            <w:pPr>
              <w:pStyle w:val="Compact"/>
              <w:jc w:val="center"/>
            </w:pPr>
            <w:r>
              <w:drawing>
                <wp:inline>
                  <wp:extent cx="6210300" cy="2895600"/>
                  <wp:effectExtent b="0" l="0" r="0" t="0"/>
                  <wp:docPr descr="" title="" id="336" name="Picture"/>
                  <a:graphic>
                    <a:graphicData uri="http://schemas.openxmlformats.org/drawingml/2006/picture">
                      <pic:pic>
                        <pic:nvPicPr>
                          <pic:cNvPr descr="t-test_files/figure-docx/fig-t-test-dist3-output-1.png" id="337" name="Picture"/>
                          <pic:cNvPicPr>
                            <a:picLocks noChangeArrowheads="1" noChangeAspect="1"/>
                          </pic:cNvPicPr>
                        </pic:nvPicPr>
                        <pic:blipFill>
                          <a:blip r:embed="rId33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8"/>
        </w:tc>
      </w:tr>
    </w:tbl>
    <w:p>
      <w:pPr>
        <w:pStyle w:val="Compact"/>
        <w:numPr>
          <w:ilvl w:val="0"/>
          <w:numId w:val="105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5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5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5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5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5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2" w:name="fig-t-test-dist4"/>
          <w:p>
            <w:pPr>
              <w:pStyle w:val="Compact"/>
              <w:jc w:val="center"/>
            </w:pPr>
            <w:r>
              <w:drawing>
                <wp:inline>
                  <wp:extent cx="6153150" cy="3086100"/>
                  <wp:effectExtent b="0" l="0" r="0" t="0"/>
                  <wp:docPr descr="" title="" id="340" name="Picture"/>
                  <a:graphic>
                    <a:graphicData uri="http://schemas.openxmlformats.org/drawingml/2006/picture">
                      <pic:pic>
                        <pic:nvPicPr>
                          <pic:cNvPr descr="t-test_files/figure-docx/fig-t-test-dist4-output-1.png" id="341" name="Picture"/>
                          <pic:cNvPicPr>
                            <a:picLocks noChangeArrowheads="1" noChangeAspect="1"/>
                          </pic:cNvPicPr>
                        </pic:nvPicPr>
                        <pic:blipFill>
                          <a:blip r:embed="rId339"/>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2"/>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C:\Users\ihorm\AppData\Local\Programs\Quarto\share\formats\docx\note.png" id="344"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54"/>
        </w:numPr>
      </w:pPr>
      <w:r>
        <w:t xml:space="preserve">Не треба думати під час реалізації про ступені свободи.</w:t>
      </w:r>
    </w:p>
    <w:p>
      <w:pPr>
        <w:pStyle w:val="Compact"/>
        <w:numPr>
          <w:ilvl w:val="0"/>
          <w:numId w:val="105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54"/>
        </w:numPr>
      </w:pPr>
      <w:r>
        <w:t xml:space="preserve">Робити різні теоретичні обчислення простіше.</w:t>
      </w:r>
    </w:p>
    <w:p>
      <w:pPr>
        <w:pStyle w:val="Compact"/>
        <w:numPr>
          <w:ilvl w:val="0"/>
          <w:numId w:val="1054"/>
        </w:numPr>
      </w:pPr>
      <w:r>
        <w:t xml:space="preserve">У ньому складніше помилитися під час реалізації.</w:t>
      </w:r>
    </w:p>
    <w:bookmarkEnd w:id="345"/>
    <w:bookmarkStart w:id="365"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5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5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5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5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5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5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6"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6"/>
    </w:p>
    <w:p>
      <w:pPr>
        <w:pStyle w:val="FirstParagraph"/>
      </w:pPr>
      <w:r>
        <w:t xml:space="preserve">Позначимо оцінку дисперсії середнього значення:</w:t>
      </w:r>
    </w:p>
    <w:p>
      <w:pPr>
        <w:pStyle w:val="BodyText"/>
      </w:pPr>
      <w:bookmarkStart w:id="347"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7"/>
    </w:p>
    <w:p>
      <w:pPr>
        <w:pStyle w:val="FirstParagraph"/>
      </w:pPr>
      <w:r>
        <w:t xml:space="preserve">А також стандартне відхилення середнього значення:</w:t>
      </w:r>
    </w:p>
    <w:p>
      <w:pPr>
        <w:pStyle w:val="BodyText"/>
      </w:pPr>
      <w:bookmarkStart w:id="348"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8"/>
    </w:p>
    <w:p>
      <w:pPr>
        <w:pStyle w:val="FirstParagraph"/>
      </w:pPr>
      <w:r>
        <w:t xml:space="preserve">Тепер ми знаємо, що</w:t>
      </w:r>
    </w:p>
    <w:p>
      <w:pPr>
        <w:pStyle w:val="BodyText"/>
      </w:pPr>
      <w:bookmarkStart w:id="349"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9"/>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3" w:name="fig-mde"/>
          <w:p>
            <w:pPr>
              <w:pStyle w:val="Compact"/>
              <w:jc w:val="center"/>
            </w:pPr>
            <w:r>
              <w:drawing>
                <wp:inline>
                  <wp:extent cx="6261100" cy="3038203"/>
                  <wp:effectExtent b="0" l="0" r="0" t="0"/>
                  <wp:docPr descr="" title="" id="351" name="Picture"/>
                  <a:graphic>
                    <a:graphicData uri="http://schemas.openxmlformats.org/drawingml/2006/picture">
                      <pic:pic>
                        <pic:nvPicPr>
                          <pic:cNvPr descr="t-test_files/figure-docx/fig-mde-output-1.png" id="352" name="Picture"/>
                          <pic:cNvPicPr>
                            <a:picLocks noChangeArrowheads="1" noChangeAspect="1"/>
                          </pic:cNvPicPr>
                        </pic:nvPicPr>
                        <pic:blipFill>
                          <a:blip r:embed="rId350"/>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3"/>
        </w:tc>
      </w:tr>
    </w:tbl>
    <w:p>
      <w:pPr>
        <w:pStyle w:val="BodyText"/>
      </w:pPr>
      <w:r>
        <w:t xml:space="preserve">Нехай</w:t>
      </w:r>
    </w:p>
    <w:p>
      <w:pPr>
        <w:pStyle w:val="BodyText"/>
      </w:pPr>
      <w:bookmarkStart w:id="354"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4"/>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5"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5"/>
    </w:p>
    <w:p>
      <w:pPr>
        <w:pStyle w:val="FirstParagraph"/>
      </w:pPr>
      <w:r>
        <w:t xml:space="preserve">Або</w:t>
      </w:r>
    </w:p>
    <w:p>
      <w:pPr>
        <w:pStyle w:val="BodyText"/>
      </w:pPr>
      <w:bookmarkStart w:id="356"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6"/>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7"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7"/>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8"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8"/>
    </w:p>
    <w:p>
      <w:pPr>
        <w:pStyle w:val="FirstParagraph"/>
      </w:pPr>
      <w:r>
        <w:t xml:space="preserve">Тоді</w:t>
      </w:r>
    </w:p>
    <w:p>
      <w:pPr>
        <w:pStyle w:val="BodyText"/>
      </w:pPr>
      <w:bookmarkStart w:id="359"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9"/>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0"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0"/>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1"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1"/>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2"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2"/>
    </w:p>
    <w:p>
      <w:pPr>
        <w:pStyle w:val="FirstParagraph"/>
      </w:pPr>
      <w:r>
        <w:t xml:space="preserve">Отже, ми отримали формулу для MDE:</w:t>
      </w:r>
    </w:p>
    <w:p>
      <w:pPr>
        <w:pStyle w:val="BodyText"/>
      </w:pPr>
      <w:bookmarkStart w:id="363"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3"/>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5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58"/>
        </w:numPr>
      </w:pPr>
      <w:r>
        <w:t xml:space="preserve">Оцінити за схожими даними. Наприклад, у нашому випадку, оцінити дисперисію на початковому ринку.</w:t>
      </w:r>
    </w:p>
    <w:p>
      <w:pPr>
        <w:pStyle w:val="Compact"/>
        <w:numPr>
          <w:ilvl w:val="0"/>
          <w:numId w:val="105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4"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4"/>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5"/>
    <w:bookmarkStart w:id="379" w:name="двовибірковий-t-тест"/>
    <w:p>
      <w:pPr>
        <w:pStyle w:val="Heading2"/>
      </w:pPr>
      <w:r>
        <w:t xml:space="preserve">4.10 Двовибірковий</w:t>
      </w:r>
      <w:r>
        <w:t xml:space="preserve"> </w:t>
      </w:r>
      <m:oMath>
        <m:r>
          <m:t>t</m:t>
        </m:r>
      </m:oMath>
      <w:r>
        <w:t xml:space="preserve">-тест</w:t>
      </w:r>
    </w:p>
    <w:bookmarkStart w:id="366"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6"/>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5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7"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7"/>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8"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8"/>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9"/>
      </w:r>
      <w:r>
        <w:t xml:space="preserve">, то:</w:t>
      </w:r>
    </w:p>
    <w:p>
      <w:pPr>
        <w:pStyle w:val="BodyText"/>
      </w:pPr>
      <w:bookmarkStart w:id="370"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70"/>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1"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1"/>
    </w:p>
    <w:p>
      <w:pPr>
        <w:pStyle w:val="Compact"/>
        <w:numPr>
          <w:ilvl w:val="0"/>
          <w:numId w:val="106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2"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2"/>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8"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3"/>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76" name="Picture"/>
                  <a:graphic>
                    <a:graphicData uri="http://schemas.openxmlformats.org/drawingml/2006/picture">
                      <pic:pic>
                        <pic:nvPicPr>
                          <pic:cNvPr descr="C:\Users\ihorm\AppData\Local\Programs\Quarto\share\formats\docx\warning.png" id="377" name="Picture"/>
                          <pic:cNvPicPr>
                            <a:picLocks noChangeArrowheads="1" noChangeAspect="1"/>
                          </pic:cNvPicPr>
                        </pic:nvPicPr>
                        <pic:blipFill>
                          <a:blip r:embed="rId3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61"/>
              </w:numPr>
            </w:pPr>
            <w:r>
              <w:t xml:space="preserve">Елементи вибірок мають бути незалежні.</w:t>
            </w:r>
          </w:p>
          <w:p>
            <w:pPr>
              <w:pStyle w:val="Compact"/>
              <w:numPr>
                <w:ilvl w:val="1"/>
                <w:numId w:val="106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6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63"/>
              </w:numPr>
            </w:pPr>
            <w:r>
              <w:t xml:space="preserve">Інакше критерії так само будуть невалідними.</w:t>
            </w:r>
          </w:p>
        </w:tc>
      </w:tr>
    </w:tbl>
    <w:bookmarkEnd w:id="378"/>
    <w:bookmarkEnd w:id="379"/>
    <w:bookmarkStart w:id="380" w:name="контрольні-питання"/>
    <w:p>
      <w:pPr>
        <w:pStyle w:val="Heading2"/>
      </w:pPr>
      <w:r>
        <w:t xml:space="preserve">4.11 Контрольні питання</w:t>
      </w:r>
    </w:p>
    <w:bookmarkEnd w:id="380"/>
    <w:bookmarkEnd w:id="381"/>
    <w:bookmarkStart w:id="394"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64"/>
        </w:numPr>
      </w:pPr>
      <w:r>
        <w:t xml:space="preserve">Як перевірити наш критерій?</w:t>
      </w:r>
    </w:p>
    <w:p>
      <w:pPr>
        <w:pStyle w:val="Compact"/>
        <w:numPr>
          <w:ilvl w:val="0"/>
          <w:numId w:val="1064"/>
        </w:numPr>
      </w:pPr>
      <w:r>
        <w:t xml:space="preserve">Чи можна використовувати критерій на практиці?</w:t>
      </w:r>
    </w:p>
    <w:p>
      <w:pPr>
        <w:pStyle w:val="Compact"/>
        <w:numPr>
          <w:ilvl w:val="0"/>
          <w:numId w:val="1064"/>
        </w:numPr>
      </w:pPr>
      <w:r>
        <w:t xml:space="preserve">Якщо у нас є дві або більше альтернатив, як обрати найкращу?</w:t>
      </w:r>
    </w:p>
    <w:bookmarkStart w:id="388"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65"/>
        </w:numPr>
      </w:pPr>
      <w:r>
        <w:t xml:space="preserve">Чи можна використовувати цей критерій для нашого завдання?</w:t>
      </w:r>
    </w:p>
    <w:p>
      <w:pPr>
        <w:pStyle w:val="Compact"/>
        <w:numPr>
          <w:ilvl w:val="0"/>
          <w:numId w:val="1065"/>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66"/>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66"/>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67"/>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67"/>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68"/>
        </w:numPr>
      </w:pPr>
      <w:r>
        <w:t xml:space="preserve">Створюємо код критерію, який ми будемо перевіряти.</w:t>
      </w:r>
    </w:p>
    <w:p>
      <w:pPr>
        <w:pStyle w:val="Compact"/>
        <w:numPr>
          <w:ilvl w:val="0"/>
          <w:numId w:val="1068"/>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68"/>
        </w:numPr>
      </w:pPr>
      <w:r>
        <w:t xml:space="preserve">Досліджуємо на них придуманий критерій.</w:t>
      </w:r>
    </w:p>
    <w:p>
      <w:pPr>
        <w:pStyle w:val="Compact"/>
        <w:numPr>
          <w:ilvl w:val="0"/>
          <w:numId w:val="1068"/>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69"/>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69"/>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69"/>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70"/>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70"/>
        </w:numPr>
      </w:pPr>
      <w:r>
        <w:t xml:space="preserve">Досліджуємо на згенерованих даних критерій, що перевіряється.</w:t>
      </w:r>
    </w:p>
    <w:p>
      <w:pPr>
        <w:pStyle w:val="Compact"/>
        <w:numPr>
          <w:ilvl w:val="1"/>
          <w:numId w:val="1070"/>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69"/>
        </w:numPr>
      </w:pPr>
      <w:r>
        <w:t xml:space="preserve">Порахувати частку помилок. Це буде ймовірність того, що критерій помиляється.</w:t>
      </w:r>
    </w:p>
    <w:p>
      <w:pPr>
        <w:pStyle w:val="Compact"/>
        <w:numPr>
          <w:ilvl w:val="1"/>
          <w:numId w:val="1071"/>
        </w:numPr>
      </w:pPr>
      <w:r>
        <w:t xml:space="preserve">Якщо вона приблизно збігається з</w:t>
      </w:r>
      <w:r>
        <w:t xml:space="preserve"> </w:t>
      </w:r>
      <m:oMath>
        <m:r>
          <m:t>α</m:t>
        </m:r>
      </m:oMath>
      <w:r>
        <w:t xml:space="preserve">, то все добре.</w:t>
      </w:r>
    </w:p>
    <w:p>
      <w:pPr>
        <w:pStyle w:val="Compact"/>
        <w:numPr>
          <w:ilvl w:val="1"/>
          <w:numId w:val="1071"/>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71"/>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72"/>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2"/>
      </w:r>
      <w:r>
        <w:t xml:space="preserve">: він не такий точний, як ми виводили раніше, зате він швидший й працює швидше. Давайте спробуємо його реалізувати:</w:t>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6" w:name="fig-t-test-2"/>
          <w:p>
            <w:pPr>
              <w:pStyle w:val="Compact"/>
              <w:jc w:val="center"/>
            </w:pPr>
            <w:r>
              <w:drawing>
                <wp:inline>
                  <wp:extent cx="6261100" cy="2992030"/>
                  <wp:effectExtent b="0" l="0" r="0" t="0"/>
                  <wp:docPr descr="" title="" id="384" name="Picture"/>
                  <a:graphic>
                    <a:graphicData uri="http://schemas.openxmlformats.org/drawingml/2006/picture">
                      <pic:pic>
                        <pic:nvPicPr>
                          <pic:cNvPr descr="monte-carlo_files/figure-docx/fig-t-test-2-output-1.png" id="385" name="Picture"/>
                          <pic:cNvPicPr>
                            <a:picLocks noChangeArrowheads="1" noChangeAspect="1"/>
                          </pic:cNvPicPr>
                        </pic:nvPicPr>
                        <pic:blipFill>
                          <a:blip r:embed="rId38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6"/>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7"/>
      </w:r>
      <w:r>
        <w:t xml:space="preserve">. Чи дійсно</w:t>
      </w:r>
      <w:r>
        <w:t xml:space="preserve"> </w:t>
      </w:r>
      <m:oMath>
        <m:r>
          <m:t>t</m:t>
        </m:r>
      </m:oMath>
      <w:r>
        <w:t xml:space="preserve">-тест працює, якщо вибірка більша за 30?</w:t>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8"/>
    <w:bookmarkStart w:id="389"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t xml:space="preserve">Як бачимо,</w:t>
      </w:r>
      <w:r>
        <w:t xml:space="preserve"> </w:t>
      </w:r>
      <m:oMath>
        <m:r>
          <m:t>t</m:t>
        </m:r>
      </m:oMath>
      <w:r>
        <w:t xml:space="preserve">-тест починає працювати з вибірки розміром 60.</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9"/>
    <w:bookmarkStart w:id="390"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073"/>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074"/>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074"/>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074"/>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074"/>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073"/>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075"/>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075"/>
        </w:numPr>
      </w:pPr>
      <w:r>
        <w:t xml:space="preserve">Поділимо набір даних за місяцями: витрат користувача за листопад, за грудень тощо.</w:t>
      </w:r>
    </w:p>
    <w:p>
      <w:pPr>
        <w:pStyle w:val="Compact"/>
        <w:numPr>
          <w:ilvl w:val="0"/>
          <w:numId w:val="1075"/>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075"/>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075"/>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90"/>
    <w:bookmarkStart w:id="393" w:name="sec-additional"/>
    <w:p>
      <w:pPr>
        <w:pStyle w:val="Heading2"/>
      </w:pPr>
      <w:r>
        <w:t xml:space="preserve">5.4 Додаткові питання</w:t>
      </w:r>
    </w:p>
    <w:bookmarkStart w:id="391"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1"/>
    <w:bookmarkStart w:id="392"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076"/>
        </w:numPr>
      </w:pPr>
      <w:r>
        <w:t xml:space="preserve">Створенні 1000 експериментів, на історичних даних, або на симульованих</w:t>
      </w:r>
    </w:p>
    <w:p>
      <w:pPr>
        <w:pStyle w:val="Compact"/>
        <w:numPr>
          <w:ilvl w:val="0"/>
          <w:numId w:val="1076"/>
        </w:numPr>
      </w:pPr>
      <w:r>
        <w:t xml:space="preserve">Підборі ефекту, який буде найкраще імітувати істинний ефект, що перевіряється, в гіпотезі.</w:t>
      </w:r>
    </w:p>
    <w:bookmarkEnd w:id="392"/>
    <w:bookmarkEnd w:id="393"/>
    <w:bookmarkEnd w:id="394"/>
    <w:bookmarkStart w:id="395" w:name="підсумки"/>
    <w:p>
      <w:pPr>
        <w:pStyle w:val="Heading1"/>
      </w:pPr>
      <w:r>
        <w:t xml:space="preserve">Підсумки</w:t>
      </w:r>
    </w:p>
    <w:bookmarkEnd w:id="395"/>
    <w:bookmarkStart w:id="404" w:name="список-літератури"/>
    <w:p>
      <w:pPr>
        <w:pStyle w:val="Heading1"/>
      </w:pPr>
      <w:r>
        <w:t xml:space="preserve">Список літератури</w:t>
      </w:r>
    </w:p>
    <w:bookmarkStart w:id="403" w:name="refs"/>
    <w:bookmarkStart w:id="396"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6"/>
    <w:bookmarkStart w:id="398"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7">
        <w:r>
          <w:rPr>
            <w:rStyle w:val="Hyperlink"/>
          </w:rPr>
          <w:t xml:space="preserve">https://doi.org/10.1017/S0305004100016595</w:t>
        </w:r>
      </w:hyperlink>
      <w:r>
        <w:t xml:space="preserve">.</w:t>
      </w:r>
    </w:p>
    <w:bookmarkEnd w:id="398"/>
    <w:bookmarkStart w:id="399"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99"/>
    <w:bookmarkStart w:id="400"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00"/>
    <w:bookmarkStart w:id="401"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01"/>
    <w:bookmarkStart w:id="402"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402"/>
    <w:bookmarkEnd w:id="403"/>
    <w:bookmarkEnd w:id="404"/>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9">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3">
    <w:p>
      <w:pPr>
        <w:pStyle w:val="FootnoteText"/>
      </w:pPr>
      <w:r>
        <w:rPr>
          <w:rStyle w:val="FootnoteReference"/>
        </w:rPr>
        <w:footnoteRef/>
      </w:r>
      <w:r>
        <w:t xml:space="preserve"> </w:t>
      </w:r>
      <w:r>
        <w:t xml:space="preserve">Документація:</w:t>
      </w:r>
      <w:r>
        <w:t xml:space="preserve"> </w:t>
      </w:r>
      <w:hyperlink r:id="rId374">
        <w:r>
          <w:rPr>
            <w:rStyle w:val="Hyperlink"/>
          </w:rPr>
          <w:t xml:space="preserve">https://docs.scipy.org/doc/scipy/reference/generated/scipy.stats.ttest_ind.htm</w:t>
        </w:r>
      </w:hyperlink>
    </w:p>
  </w:footnote>
  <w:footnote w:id="382">
    <w:p>
      <w:pPr>
        <w:pStyle w:val="FootnoteText"/>
      </w:pPr>
      <w:r>
        <w:rPr>
          <w:rStyle w:val="FootnoteReference"/>
        </w:rPr>
        <w:footnoteRef/>
      </w:r>
      <w:r>
        <w:t xml:space="preserve"> </w:t>
      </w:r>
      <w:r>
        <w:t xml:space="preserve">Wilson (1927)</w:t>
      </w:r>
    </w:p>
  </w:footnote>
  <w:footnote w:id="387">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375" Target="media/rId375.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383" Target="media/rId383.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90" Target="media/rId290.png" /><Relationship Type="http://schemas.openxmlformats.org/officeDocument/2006/relationships/image" Id="rId350" Target="media/rId350.png" /><Relationship Type="http://schemas.openxmlformats.org/officeDocument/2006/relationships/image" Id="rId307" Target="media/rId307.png" /><Relationship Type="http://schemas.openxmlformats.org/officeDocument/2006/relationships/image" Id="rId323" Target="media/rId323.png" /><Relationship Type="http://schemas.openxmlformats.org/officeDocument/2006/relationships/image" Id="rId274" Target="media/rId274.png" /><Relationship Type="http://schemas.openxmlformats.org/officeDocument/2006/relationships/image" Id="rId294" Target="media/rId294.png" /><Relationship Type="http://schemas.openxmlformats.org/officeDocument/2006/relationships/image" Id="rId327" Target="media/rId327.png" /><Relationship Type="http://schemas.openxmlformats.org/officeDocument/2006/relationships/image" Id="rId335" Target="media/rId335.png" /><Relationship Type="http://schemas.openxmlformats.org/officeDocument/2006/relationships/image" Id="rId339" Target="media/rId339.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97"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97"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2025-04-16T13:20:37Z</dcterms:created>
  <dcterms:modified xsi:type="dcterms:W3CDTF">2025-04-16T13:20:37Z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2025-04-16</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