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2.png" ContentType="image/png"/>
  <Override PartName="/word/media/rId34.png" ContentType="image/png"/>
  <Override PartName="/word/media/rId71.png" ContentType="image/png"/>
  <Override PartName="/word/media/rId75.png" ContentType="image/png"/>
  <Override PartName="/word/media/rId53.png" ContentType="image/png"/>
  <Override PartName="/word/media/rId95.png" ContentType="image/png"/>
  <Override PartName="/word/media/rId90.png" ContentType="image/png"/>
  <Override PartName="/word/media/rId81.png" ContentType="image/png"/>
  <Override PartName="/word/media/rId158.png" ContentType="image/png"/>
  <Override PartName="/word/media/rId167.png" ContentType="image/png"/>
  <Override PartName="/word/media/rId149.png" ContentType="image/png"/>
  <Override PartName="/word/media/rId140.png" ContentType="image/png"/>
  <Override PartName="/word/media/rId130.png" ContentType="image/png"/>
  <Override PartName="/word/media/rId126.png" ContentType="image/png"/>
  <Override PartName="/word/media/rId122.png" ContentType="image/png"/>
  <Override PartName="/word/media/rId115.png" ContentType="image/png"/>
  <Override PartName="/word/media/rId183.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Author"/>
      </w:pPr>
      <w:r>
        <w:t xml:space="preserve">Ігор Мірошниченко</w:t>
      </w:r>
    </w:p>
    <w:p>
      <w:pPr>
        <w:pStyle w:val="Author"/>
      </w:pPr>
      <w:r>
        <w:t xml:space="preserve">Юлія Хлевна</w:t>
      </w:r>
    </w:p>
    <w:p>
      <w:pPr>
        <w:pStyle w:val="Date"/>
      </w:pPr>
      <w:r>
        <w:t xml:space="preserve">2025-04-03</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09" w:name="sec-binom"/>
    <w:p>
      <w:pPr>
        <w:pStyle w:val="Heading1"/>
      </w:pPr>
      <w:r>
        <w:t xml:space="preserve">1. Біноміальний критерій</w:t>
      </w:r>
    </w:p>
    <w:bookmarkStart w:id="26" w:name="генеральна-сукупність-та-вибірка"/>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3" w:name="annotated-cell-10"/>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3"/>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w:t>
            </w:r>
            <w:r>
              <w:rPr>
                <w:rStyle w:val="FootnoteReference"/>
              </w:rPr>
              <w:footnoteReference w:id="24"/>
            </w:r>
            <w:r>
              <w:t xml:space="preserve"> </w:t>
            </w:r>
            <w:r>
              <w:t xml:space="preserve">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7" w:name="статистичні-гіпотези"/>
    <w:p>
      <w:pPr>
        <w:pStyle w:val="Heading2"/>
      </w:pPr>
      <w:r>
        <w:t xml:space="preserve">1.2 Статистичні гіпотези</w:t>
      </w:r>
    </w:p>
    <w:bookmarkStart w:id="39"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12"/>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2"/>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3"/>
        </w:tc>
      </w:tr>
    </w:tbl>
    <w:tbl>
      <w:tblPr>
        <w:tblStyle w:val="Table"/>
        <w:tblW w:type="pct" w:w="5000"/>
        <w:tblLayout w:type="fixed"/>
        <w:tblLook w:firstRow="0" w:lastRow="0" w:firstColumn="0" w:lastColumn="0" w:noHBand="0" w:noVBand="0" w:val="0000"/>
      </w:tblPr>
      <w:tblGrid>
        <w:gridCol w:w="7920"/>
      </w:tblGrid>
      <w:tr>
        <w:tc>
          <w:tcPr/>
          <w:bookmarkStart w:id="37" w:name="fig-binom-pmf"/>
          <w:p>
            <w:pPr>
              <w:pStyle w:val="Compact"/>
              <w:jc w:val="center"/>
            </w:pPr>
            <w:r>
              <w:drawing>
                <wp:inline>
                  <wp:extent cx="6261100" cy="3005328"/>
                  <wp:effectExtent b="0" l="0" r="0" t="0"/>
                  <wp:docPr descr="" title="" id="35" name="Picture"/>
                  <a:graphic>
                    <a:graphicData uri="http://schemas.openxmlformats.org/drawingml/2006/picture">
                      <pic:pic>
                        <pic:nvPicPr>
                          <pic:cNvPr descr="binom_files/figure-docx/fig-binom-pmf-output-1.png" id="36" name="Picture"/>
                          <pic:cNvPicPr>
                            <a:picLocks noChangeArrowheads="1" noChangeAspect="1"/>
                          </pic:cNvPicPr>
                        </pic:nvPicPr>
                        <pic:blipFill>
                          <a:blip r:embed="rId3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7"/>
        </w:tc>
      </w:tr>
    </w:tbl>
    <w:p>
      <w:pPr>
        <w:pStyle w:val="BodyText"/>
      </w:pPr>
      <w:r>
        <w:t xml:space="preserve">Ціановим</w:t>
      </w:r>
      <w:r>
        <w:rPr>
          <w:rStyle w:val="FootnoteReference"/>
        </w:rPr>
        <w:footnoteReference w:id="38"/>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9"/>
    <w:bookmarkStart w:id="40"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0"/>
    <w:bookmarkStart w:id="41"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3"/>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3"/>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1"/>
    <w:bookmarkStart w:id="46"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5" w:name="fig-binom-pmf-fpr"/>
          <w:p>
            <w:pPr>
              <w:pStyle w:val="Compact"/>
              <w:jc w:val="center"/>
            </w:pPr>
            <w:r>
              <w:drawing>
                <wp:inline>
                  <wp:extent cx="6261100" cy="3005328"/>
                  <wp:effectExtent b="0" l="0" r="0" t="0"/>
                  <wp:docPr descr="" title="" id="43" name="Picture"/>
                  <a:graphic>
                    <a:graphicData uri="http://schemas.openxmlformats.org/drawingml/2006/picture">
                      <pic:pic>
                        <pic:nvPicPr>
                          <pic:cNvPr descr="binom_files/figure-docx/fig-binom-pmf-fpr-output-1.png" id="44" name="Picture"/>
                          <pic:cNvPicPr>
                            <a:picLocks noChangeArrowheads="1" noChangeAspect="1"/>
                          </pic:cNvPicPr>
                        </pic:nvPicPr>
                        <pic:blipFill>
                          <a:blip r:embed="rId4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5"/>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6"/>
    <w:bookmarkEnd w:id="47"/>
    <w:bookmarkStart w:id="69"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0"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lst-binom"/>
          <w:p>
            <w:pPr>
              <w:jc w:val="center"/>
            </w:pPr>
            <w:pPr>
              <w:jc w:val="start"/>
              <w:spacing w:before="200"/>
              <w:pStyle w:val="ImageCaption"/>
            </w:pPr>
            <w:r>
              <w:t xml:space="preserve">Лістинг 1.3: Створення біноміального розподілу</w:t>
            </w:r>
          </w:p>
          <w:bookmarkStart w:id="48" w:name="annotated-cell-13"/>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8"/>
          <w:bookmarkEnd w:id="49"/>
          <w:p/>
        </w:tc>
      </w:tr>
    </w:tbl>
    <w:p>
      <w:pPr>
        <w:pStyle w:val="Compact"/>
        <w:numPr>
          <w:ilvl w:val="0"/>
          <w:numId w:val="1004"/>
        </w:numPr>
      </w:pPr>
      <w:r>
        <w:t xml:space="preserve">Кількість спостережень.</w:t>
      </w:r>
    </w:p>
    <w:p>
      <w:pPr>
        <w:pStyle w:val="Compact"/>
        <w:numPr>
          <w:ilvl w:val="0"/>
          <w:numId w:val="1004"/>
        </w:numPr>
      </w:pPr>
      <w:r>
        <w:t xml:space="preserve">Ймовірність успіху.</w:t>
      </w:r>
    </w:p>
    <w:bookmarkEnd w:id="50"/>
    <w:bookmarkStart w:id="60"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1"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1"/>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2"/>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7"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7"/>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8"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8"/>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9"/>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0"/>
    <w:bookmarkStart w:id="64"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2"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1" w:name="annotated-cell-22"/>
          <w:p>
            <w:pPr>
              <w:pStyle w:val="SourceCode"/>
              <w:jc w:val="center"/>
            </w:pPr>
            <w:r>
              <w:rPr>
                <w:rStyle w:val="VerbatimChar"/>
              </w:rPr>
              <w:t xml:space="preserve">binom_dist.cdf(19)</w:t>
            </w:r>
          </w:p>
          <w:bookmarkEnd w:id="61"/>
          <w:bookmarkEnd w:id="62"/>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3"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3"/>
        </w:tc>
      </w:tr>
    </w:tbl>
    <w:p>
      <w:pPr>
        <w:pStyle w:val="SourceCode"/>
      </w:pPr>
      <w:r>
        <w:rPr>
          <w:rStyle w:val="VerbatimChar"/>
        </w:rPr>
        <w:t xml:space="preserve">0.04936857335269451</w:t>
      </w:r>
    </w:p>
    <w:bookmarkEnd w:id="64"/>
    <w:bookmarkStart w:id="68"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5"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5"/>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6"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6"/>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5"/>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5"/>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5"/>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5"/>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5"/>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7"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7"/>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8"/>
    <w:bookmarkEnd w:id="69"/>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0"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0"/>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4" w:name="fig-binom-pmf-p-value"/>
          <w:p>
            <w:pPr>
              <w:pStyle w:val="Compact"/>
              <w:jc w:val="center"/>
            </w:pPr>
            <w:r>
              <w:drawing>
                <wp:inline>
                  <wp:extent cx="6261100" cy="3005328"/>
                  <wp:effectExtent b="0" l="0" r="0" t="0"/>
                  <wp:docPr descr="" title="" id="72" name="Picture"/>
                  <a:graphic>
                    <a:graphicData uri="http://schemas.openxmlformats.org/drawingml/2006/picture">
                      <pic:pic>
                        <pic:nvPicPr>
                          <pic:cNvPr descr="binom_files/figure-docx/fig-binom-pmf-p-value-output-1.png" id="73" name="Picture"/>
                          <pic:cNvPicPr>
                            <a:picLocks noChangeArrowheads="1" noChangeAspect="1"/>
                          </pic:cNvPicPr>
                        </pic:nvPicPr>
                        <pic:blipFill>
                          <a:blip r:embed="rId7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4"/>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4809624"/>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4"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6"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4" w:name="fig-binom-pmf-two-sided"/>
          <w:p>
            <w:pPr>
              <w:pStyle w:val="Compact"/>
              <w:jc w:val="center"/>
            </w:pPr>
            <w:r>
              <w:drawing>
                <wp:inline>
                  <wp:extent cx="5010150" cy="3438525"/>
                  <wp:effectExtent b="0" l="0" r="0" t="0"/>
                  <wp:docPr descr="" title="" id="82" name="Picture"/>
                  <a:graphic>
                    <a:graphicData uri="http://schemas.openxmlformats.org/drawingml/2006/picture">
                      <pic:pic>
                        <pic:nvPicPr>
                          <pic:cNvPr descr="binom_files/figure-docx/fig-binom-pmf-two-sided-output-1.png" id="83" name="Picture"/>
                          <pic:cNvPicPr>
                            <a:picLocks noChangeArrowheads="1" noChangeAspect="1"/>
                          </pic:cNvPicPr>
                        </pic:nvPicPr>
                        <pic:blipFill>
                          <a:blip r:embed="rId81"/>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4"/>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5"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5"/>
        </w:tc>
      </w:tr>
    </w:tbl>
    <w:p>
      <w:pPr>
        <w:pStyle w:val="SourceCode"/>
      </w:pPr>
      <w:r>
        <w:rPr>
          <w:rStyle w:val="VerbatimChar"/>
        </w:rPr>
        <w:t xml:space="preserve">6.0</w:t>
      </w:r>
    </w:p>
    <w:bookmarkEnd w:id="86"/>
    <w:bookmarkStart w:id="89"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7"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7"/>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8"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8"/>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9"/>
    <w:bookmarkStart w:id="99"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3" w:name="fig-binom-pmf-two-sided-nonsym"/>
          <w:p>
            <w:pPr>
              <w:pStyle w:val="Compact"/>
              <w:jc w:val="center"/>
            </w:pPr>
            <w:r>
              <w:drawing>
                <wp:inline>
                  <wp:extent cx="6261100" cy="2892666"/>
                  <wp:effectExtent b="0" l="0" r="0" t="0"/>
                  <wp:docPr descr="" title="" id="91" name="Picture"/>
                  <a:graphic>
                    <a:graphicData uri="http://schemas.openxmlformats.org/drawingml/2006/picture">
                      <pic:pic>
                        <pic:nvPicPr>
                          <pic:cNvPr descr="binom_files/figure-docx/fig-binom-pmf-two-sided-nonsym-output-1.png" id="92" name="Picture"/>
                          <pic:cNvPicPr>
                            <a:picLocks noChangeArrowheads="1" noChangeAspect="1"/>
                          </pic:cNvPicPr>
                        </pic:nvPicPr>
                        <pic:blipFill>
                          <a:blip r:embed="rId90"/>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3"/>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4"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4"/>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8" w:name="fig-binom-pmf-two-sided-nonsym-crit"/>
          <w:p>
            <w:pPr>
              <w:pStyle w:val="Compact"/>
              <w:jc w:val="center"/>
            </w:pPr>
            <w:r>
              <w:drawing>
                <wp:inline>
                  <wp:extent cx="5067300" cy="3438525"/>
                  <wp:effectExtent b="0" l="0" r="0" t="0"/>
                  <wp:docPr descr="" title="" id="96" name="Picture"/>
                  <a:graphic>
                    <a:graphicData uri="http://schemas.openxmlformats.org/drawingml/2006/picture">
                      <pic:pic>
                        <pic:nvPicPr>
                          <pic:cNvPr descr="binom_files/figure-docx/fig-binom-pmf-two-sided-nonsym-crit-output-1.png" id="97" name="Picture"/>
                          <pic:cNvPicPr>
                            <a:picLocks noChangeArrowheads="1" noChangeAspect="1"/>
                          </pic:cNvPicPr>
                        </pic:nvPicPr>
                        <pic:blipFill>
                          <a:blip r:embed="rId95"/>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8"/>
        </w:tc>
      </w:tr>
    </w:tbl>
    <w:bookmarkEnd w:id="99"/>
    <w:bookmarkStart w:id="103"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0"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0"/>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1"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1"/>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2"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2"/>
        </w:tc>
      </w:tr>
    </w:tbl>
    <w:p>
      <w:pPr>
        <w:pStyle w:val="SourceCode"/>
      </w:pPr>
      <w:r>
        <w:rPr>
          <w:rStyle w:val="VerbatimChar"/>
        </w:rPr>
        <w:t xml:space="preserve">0.09873714670538904</w:t>
      </w:r>
    </w:p>
    <w:bookmarkEnd w:id="103"/>
    <w:bookmarkEnd w:id="104"/>
    <w:bookmarkStart w:id="106"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6"/>
        </w:numPr>
      </w:pPr>
      <w:r>
        <w:rPr>
          <w:rStyle w:val="VerbatimChar"/>
        </w:rPr>
        <w:t xml:space="preserve">k</w:t>
      </w:r>
      <w:r>
        <w:t xml:space="preserve"> </w:t>
      </w:r>
      <w:r>
        <w:t xml:space="preserve">— кількість успіхів</w:t>
      </w:r>
    </w:p>
    <w:p>
      <w:pPr>
        <w:pStyle w:val="Compact"/>
        <w:numPr>
          <w:ilvl w:val="0"/>
          <w:numId w:val="1006"/>
        </w:numPr>
      </w:pPr>
      <w:r>
        <w:rPr>
          <w:rStyle w:val="VerbatimChar"/>
        </w:rPr>
        <w:t xml:space="preserve">n</w:t>
      </w:r>
      <w:r>
        <w:t xml:space="preserve"> </w:t>
      </w:r>
      <w:r>
        <w:t xml:space="preserve">— кількість спостережень</w:t>
      </w:r>
    </w:p>
    <w:p>
      <w:pPr>
        <w:pStyle w:val="Compact"/>
        <w:numPr>
          <w:ilvl w:val="0"/>
          <w:numId w:val="1006"/>
        </w:numPr>
      </w:pPr>
      <w:r>
        <w:rPr>
          <w:rStyle w:val="VerbatimChar"/>
        </w:rPr>
        <w:t xml:space="preserve">p</w:t>
      </w:r>
      <w:r>
        <w:t xml:space="preserve"> </w:t>
      </w:r>
      <w:r>
        <w:t xml:space="preserve">— ймовірність успіху</w:t>
      </w:r>
    </w:p>
    <w:p>
      <w:pPr>
        <w:pStyle w:val="Compact"/>
        <w:numPr>
          <w:ilvl w:val="0"/>
          <w:numId w:val="1006"/>
        </w:numPr>
      </w:pPr>
      <w:r>
        <w:rPr>
          <w:rStyle w:val="VerbatimChar"/>
        </w:rPr>
        <w:t xml:space="preserve">alternative</w:t>
      </w:r>
      <w:r>
        <w:t xml:space="preserve"> </w:t>
      </w:r>
      <w:r>
        <w:t xml:space="preserve">— тип гіпотези:</w:t>
      </w:r>
    </w:p>
    <w:p>
      <w:pPr>
        <w:pStyle w:val="Compact"/>
        <w:numPr>
          <w:ilvl w:val="1"/>
          <w:numId w:val="1007"/>
        </w:numPr>
      </w:pPr>
      <w:r>
        <w:rPr>
          <w:rStyle w:val="VerbatimChar"/>
        </w:rPr>
        <w:t xml:space="preserve">two-sided</w:t>
      </w:r>
      <w:r>
        <w:t xml:space="preserve">: двостороння</w:t>
      </w:r>
    </w:p>
    <w:p>
      <w:pPr>
        <w:pStyle w:val="Compact"/>
        <w:numPr>
          <w:ilvl w:val="1"/>
          <w:numId w:val="1007"/>
        </w:numPr>
      </w:pPr>
      <w:r>
        <w:rPr>
          <w:rStyle w:val="VerbatimChar"/>
        </w:rPr>
        <w:t xml:space="preserve">greater</w:t>
      </w:r>
      <w:r>
        <w:t xml:space="preserve">: правостороння</w:t>
      </w:r>
    </w:p>
    <w:p>
      <w:pPr>
        <w:pStyle w:val="Compact"/>
        <w:numPr>
          <w:ilvl w:val="1"/>
          <w:numId w:val="1007"/>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5"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5"/>
        </w:tc>
      </w:tr>
    </w:tbl>
    <w:bookmarkEnd w:id="106"/>
    <w:bookmarkStart w:id="107"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7"/>
    <w:bookmarkStart w:id="108" w:name="питання-для-самоперевірки"/>
    <w:p>
      <w:pPr>
        <w:pStyle w:val="Heading2"/>
      </w:pPr>
      <w:r>
        <w:t xml:space="preserve">1.8 Питання для самоперевірки</w:t>
      </w:r>
    </w:p>
    <w:p>
      <w:pPr>
        <w:pStyle w:val="Compact"/>
        <w:numPr>
          <w:ilvl w:val="0"/>
          <w:numId w:val="1008"/>
        </w:numPr>
      </w:pPr>
      <w:r>
        <w:t xml:space="preserve">Які гіпотези можна перевірити за допомогою біноміального розподілу?</w:t>
      </w:r>
    </w:p>
    <w:p>
      <w:pPr>
        <w:pStyle w:val="Compact"/>
        <w:numPr>
          <w:ilvl w:val="0"/>
          <w:numId w:val="1008"/>
        </w:numPr>
      </w:pPr>
      <w:r>
        <w:t xml:space="preserve">Як визначити критичну область для критерію?</w:t>
      </w:r>
    </w:p>
    <w:p>
      <w:pPr>
        <w:pStyle w:val="Compact"/>
        <w:numPr>
          <w:ilvl w:val="0"/>
          <w:numId w:val="1008"/>
        </w:numPr>
      </w:pPr>
      <w:r>
        <w:t xml:space="preserve">Як визначити</w:t>
      </w:r>
      <w:r>
        <w:t xml:space="preserve"> </w:t>
      </w:r>
      <m:oMath>
        <m:r>
          <m:t>p</m:t>
        </m:r>
      </m:oMath>
      <w:r>
        <w:t xml:space="preserve">-значення для критерію?</w:t>
      </w:r>
    </w:p>
    <w:p>
      <w:pPr>
        <w:pStyle w:val="Compact"/>
        <w:numPr>
          <w:ilvl w:val="0"/>
          <w:numId w:val="1008"/>
        </w:numPr>
      </w:pPr>
      <w:r>
        <w:t xml:space="preserve">Як визначити критичну область для двостороннього критерію?</w:t>
      </w:r>
    </w:p>
    <w:p>
      <w:pPr>
        <w:pStyle w:val="Compact"/>
        <w:numPr>
          <w:ilvl w:val="0"/>
          <w:numId w:val="1008"/>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8"/>
        </w:numPr>
      </w:pPr>
      <w:r>
        <w:t xml:space="preserve">Як визначити критичну область для несиметричного розподілу?</w:t>
      </w:r>
    </w:p>
    <w:p>
      <w:pPr>
        <w:pStyle w:val="Compact"/>
        <w:numPr>
          <w:ilvl w:val="0"/>
          <w:numId w:val="1008"/>
        </w:numPr>
      </w:pPr>
      <w:r>
        <w:t xml:space="preserve">Як визначити</w:t>
      </w:r>
      <w:r>
        <w:t xml:space="preserve"> </w:t>
      </w:r>
      <m:oMath>
        <m:r>
          <m:t>p</m:t>
        </m:r>
      </m:oMath>
      <w:r>
        <w:t xml:space="preserve">-значення для несиметричного розподілу?</w:t>
      </w:r>
    </w:p>
    <w:bookmarkEnd w:id="108"/>
    <w:bookmarkEnd w:id="109"/>
    <w:bookmarkStart w:id="173" w:name="X94daa652f9746307c9d91d60bcb022502b388ac"/>
    <w:p>
      <w:pPr>
        <w:pStyle w:val="Heading1"/>
      </w:pPr>
      <w:r>
        <w:t xml:space="preserve">2. Статистична потужність, ефект та довірчі інтервали</w:t>
      </w:r>
    </w:p>
    <w:bookmarkStart w:id="114" w:name="статистична-потужність"/>
    <w:p>
      <w:pPr>
        <w:pStyle w:val="Heading2"/>
      </w:pPr>
      <w:r>
        <w:t xml:space="preserve">2.1 Статистична потужність</w:t>
      </w:r>
    </w:p>
    <w:bookmarkStart w:id="110"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0"/>
    <w:bookmarkStart w:id="111"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1"/>
    <w:bookmarkStart w:id="113"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2"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2"/>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3"/>
    <w:bookmarkEnd w:id="114"/>
    <w:bookmarkStart w:id="134"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8" w:name="fig-binom-power"/>
          <w:p>
            <w:pPr>
              <w:pStyle w:val="Compact"/>
              <w:jc w:val="center"/>
            </w:pPr>
            <w:r>
              <w:drawing>
                <wp:inline>
                  <wp:extent cx="6210300" cy="2895600"/>
                  <wp:effectExtent b="0" l="0" r="0" t="0"/>
                  <wp:docPr descr="" title="" id="116" name="Picture"/>
                  <a:graphic>
                    <a:graphicData uri="http://schemas.openxmlformats.org/drawingml/2006/picture">
                      <pic:pic>
                        <pic:nvPicPr>
                          <pic:cNvPr descr="power_files/figure-docx/fig-binom-power-output-1.png" id="117" name="Picture"/>
                          <pic:cNvPicPr>
                            <a:picLocks noChangeArrowheads="1" noChangeAspect="1"/>
                          </pic:cNvPicPr>
                        </pic:nvPicPr>
                        <pic:blipFill>
                          <a:blip r:embed="rId11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8"/>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9"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9"/>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0"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0"/>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1"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1"/>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5" w:name="fig-binom-power-n"/>
          <w:p>
            <w:pPr>
              <w:pStyle w:val="Compact"/>
              <w:jc w:val="center"/>
            </w:pPr>
            <w:r>
              <w:drawing>
                <wp:inline>
                  <wp:extent cx="6261100" cy="3045940"/>
                  <wp:effectExtent b="0" l="0" r="0" t="0"/>
                  <wp:docPr descr="" title="" id="123" name="Picture"/>
                  <a:graphic>
                    <a:graphicData uri="http://schemas.openxmlformats.org/drawingml/2006/picture">
                      <pic:pic>
                        <pic:nvPicPr>
                          <pic:cNvPr descr="power_files/figure-docx/fig-binom-power-n-output-1.png" id="124" name="Picture"/>
                          <pic:cNvPicPr>
                            <a:picLocks noChangeArrowheads="1" noChangeAspect="1"/>
                          </pic:cNvPicPr>
                        </pic:nvPicPr>
                        <pic:blipFill>
                          <a:blip r:embed="rId122"/>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5"/>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9" w:name="fig-binom-power-n-51"/>
          <w:p>
            <w:pPr>
              <w:pStyle w:val="Compact"/>
              <w:jc w:val="center"/>
            </w:pPr>
            <w:r>
              <w:drawing>
                <wp:inline>
                  <wp:extent cx="6261100" cy="3031092"/>
                  <wp:effectExtent b="0" l="0" r="0" t="0"/>
                  <wp:docPr descr="" title="" id="127" name="Picture"/>
                  <a:graphic>
                    <a:graphicData uri="http://schemas.openxmlformats.org/drawingml/2006/picture">
                      <pic:pic>
                        <pic:nvPicPr>
                          <pic:cNvPr descr="power_files/figure-docx/fig-binom-power-n-51-output-1.png" id="128" name="Picture"/>
                          <pic:cNvPicPr>
                            <a:picLocks noChangeArrowheads="1" noChangeAspect="1"/>
                          </pic:cNvPicPr>
                        </pic:nvPicPr>
                        <pic:blipFill>
                          <a:blip r:embed="rId126"/>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29"/>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3" w:name="fig-binom-power-mu"/>
          <w:p>
            <w:pPr>
              <w:pStyle w:val="Compact"/>
              <w:jc w:val="center"/>
            </w:pPr>
            <w:r>
              <w:drawing>
                <wp:inline>
                  <wp:extent cx="6261100" cy="3074143"/>
                  <wp:effectExtent b="0" l="0" r="0" t="0"/>
                  <wp:docPr descr="" title="" id="131" name="Picture"/>
                  <a:graphic>
                    <a:graphicData uri="http://schemas.openxmlformats.org/drawingml/2006/picture">
                      <pic:pic>
                        <pic:nvPicPr>
                          <pic:cNvPr descr="power_files/figure-docx/fig-binom-power-mu-output-1.png" id="132" name="Picture"/>
                          <pic:cNvPicPr>
                            <a:picLocks noChangeArrowheads="1" noChangeAspect="1"/>
                          </pic:cNvPicPr>
                        </pic:nvPicPr>
                        <pic:blipFill>
                          <a:blip r:embed="rId130"/>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3"/>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4"/>
    <w:bookmarkStart w:id="136"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5"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 выберем подходящие delta и вернем первую</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5"/>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6"/>
    <w:bookmarkStart w:id="144" w:name="довірчі-інтервали"/>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8" w:name="lst-binom-ci"/>
          <w:p>
            <w:pPr>
              <w:jc w:val="center"/>
            </w:pPr>
            <w:pPr>
              <w:jc w:val="start"/>
              <w:spacing w:before="200"/>
              <w:pStyle w:val="ImageCaption"/>
            </w:pPr>
            <w:r>
              <w:t xml:space="preserve">Лістинг 2.5: Довірчі інтервали для біноміального розподілу</w:t>
            </w:r>
          </w:p>
          <w:bookmarkStart w:id="137" w:name="annotated-cell-53"/>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7"/>
          <w:bookmarkEnd w:id="138"/>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9"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9"/>
        </w:tc>
      </w:tr>
    </w:tbl>
    <w:tbl>
      <w:tblPr>
        <w:tblStyle w:val="Table"/>
        <w:tblW w:type="pct" w:w="5000"/>
        <w:tblLayout w:type="fixed"/>
        <w:tblLook w:firstRow="0" w:lastRow="0" w:firstColumn="0" w:lastColumn="0" w:noHBand="0" w:noVBand="0" w:val="0000"/>
      </w:tblPr>
      <w:tblGrid>
        <w:gridCol w:w="7920"/>
      </w:tblGrid>
      <w:tr>
        <w:tc>
          <w:tcPr/>
          <w:bookmarkStart w:id="143" w:name="fig-binom-ci"/>
          <w:p>
            <w:pPr>
              <w:pStyle w:val="Compact"/>
              <w:jc w:val="center"/>
            </w:pPr>
            <w:r>
              <w:drawing>
                <wp:inline>
                  <wp:extent cx="6261100" cy="7640825"/>
                  <wp:effectExtent b="0" l="0" r="0" t="0"/>
                  <wp:docPr descr="" title="" id="141" name="Picture"/>
                  <a:graphic>
                    <a:graphicData uri="http://schemas.openxmlformats.org/drawingml/2006/picture">
                      <pic:pic>
                        <pic:nvPicPr>
                          <pic:cNvPr descr="power_files/figure-docx/fig-binom-ci-output-1.png" id="142" name="Picture"/>
                          <pic:cNvPicPr>
                            <a:picLocks noChangeArrowheads="1" noChangeAspect="1"/>
                          </pic:cNvPicPr>
                        </pic:nvPicPr>
                        <pic:blipFill>
                          <a:blip r:embed="rId14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3"/>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4"/>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5"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5"/>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6"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6"/>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7"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7"/>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8"/>
        </w:tc>
      </w:tr>
    </w:tbl>
    <w:tbl>
      <w:tblPr>
        <w:tblStyle w:val="Table"/>
        <w:tblW w:type="pct" w:w="5000"/>
        <w:tblLayout w:type="fixed"/>
        <w:tblLook w:firstRow="0" w:lastRow="0" w:firstColumn="0" w:lastColumn="0" w:noHBand="0" w:noVBand="0" w:val="0000"/>
      </w:tblPr>
      <w:tblGrid>
        <w:gridCol w:w="7920"/>
      </w:tblGrid>
      <w:tr>
        <w:tc>
          <w:tcPr/>
          <w:bookmarkStart w:id="152" w:name="fig-binom-ci-22"/>
          <w:p>
            <w:pPr>
              <w:pStyle w:val="Compact"/>
              <w:jc w:val="center"/>
            </w:pPr>
            <w:r>
              <w:drawing>
                <wp:inline>
                  <wp:extent cx="6261100" cy="7640825"/>
                  <wp:effectExtent b="0" l="0" r="0" t="0"/>
                  <wp:docPr descr="" title="" id="150" name="Picture"/>
                  <a:graphic>
                    <a:graphicData uri="http://schemas.openxmlformats.org/drawingml/2006/picture">
                      <pic:pic>
                        <pic:nvPicPr>
                          <pic:cNvPr descr="power_files/figure-docx/fig-binom-ci-22-output-1.png" id="151" name="Picture"/>
                          <pic:cNvPicPr>
                            <a:picLocks noChangeArrowheads="1" noChangeAspect="1"/>
                          </pic:cNvPicPr>
                        </pic:nvPicPr>
                        <pic:blipFill>
                          <a:blip r:embed="rId149"/>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2"/>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3"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3"/>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2"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4"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1"/>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1"/>
        </w:numPr>
      </w:pPr>
      <w:r>
        <w:t xml:space="preserve">Обчислюємо статистику</w:t>
      </w:r>
      <w:r>
        <w:t xml:space="preserve"> </w:t>
      </w:r>
      <m:oMath>
        <m:r>
          <m:t>q</m:t>
        </m:r>
      </m:oMath>
      <w:r>
        <w:t xml:space="preserve">.</w:t>
      </w:r>
    </w:p>
    <w:p>
      <w:pPr>
        <w:pStyle w:val="Compact"/>
        <w:numPr>
          <w:ilvl w:val="0"/>
          <w:numId w:val="1011"/>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6"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3.7426 секунди</w:t>
            </w:r>
          </w:p>
          <w:bookmarkEnd w:id="156"/>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3"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7"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7"/>
        </w:tc>
      </w:tr>
    </w:tbl>
    <w:tbl>
      <w:tblPr>
        <w:tblStyle w:val="Table"/>
        <w:tblW w:type="pct" w:w="5000"/>
        <w:tblLayout w:type="fixed"/>
        <w:tblLook w:firstRow="0" w:lastRow="0" w:firstColumn="0" w:lastColumn="0" w:noHBand="0" w:noVBand="0" w:val="0000"/>
      </w:tblPr>
      <w:tblGrid>
        <w:gridCol w:w="7920"/>
      </w:tblGrid>
      <w:tr>
        <w:tc>
          <w:tcPr/>
          <w:bookmarkStart w:id="161" w:name="fig-binom-ci-1"/>
          <w:p>
            <w:pPr>
              <w:pStyle w:val="Compact"/>
              <w:jc w:val="center"/>
            </w:pPr>
            <w:r>
              <w:drawing>
                <wp:inline>
                  <wp:extent cx="6210300" cy="2895600"/>
                  <wp:effectExtent b="0" l="0" r="0" t="0"/>
                  <wp:docPr descr="" title="" id="159" name="Picture"/>
                  <a:graphic>
                    <a:graphicData uri="http://schemas.openxmlformats.org/drawingml/2006/picture">
                      <pic:pic>
                        <pic:nvPicPr>
                          <pic:cNvPr descr="power_files/figure-docx/fig-binom-ci-1-output-1.png" id="160" name="Picture"/>
                          <pic:cNvPicPr>
                            <a:picLocks noChangeArrowheads="1" noChangeAspect="1"/>
                          </pic:cNvPicPr>
                        </pic:nvPicPr>
                        <pic:blipFill>
                          <a:blip r:embed="rId15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1"/>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2"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2"/>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3"/>
    <w:bookmarkEnd w:id="164"/>
    <w:bookmarkStart w:id="171"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5"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5"/>
        </w:tc>
      </w:tr>
    </w:tbl>
    <w:p>
      <w:pPr>
        <w:pStyle w:val="SourceCode"/>
      </w:pPr>
      <w:r>
        <w:rPr>
          <w:rStyle w:val="VerbatimChar"/>
        </w:rPr>
        <w:t xml:space="preserve">Відсоток успішних випадків: 96.6%</w:t>
      </w:r>
      <w:r>
        <w:br/>
      </w:r>
      <w:r>
        <w:rPr>
          <w:rStyle w:val="VerbatimChar"/>
        </w:rPr>
        <w:t xml:space="preserve">Час виконання: 0.0705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6"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6"/>
        </w:tc>
      </w:tr>
    </w:tbl>
    <w:tbl>
      <w:tblPr>
        <w:tblStyle w:val="Table"/>
        <w:tblW w:type="pct" w:w="5000"/>
        <w:tblLayout w:type="fixed"/>
        <w:tblLook w:firstRow="0" w:lastRow="0" w:firstColumn="0" w:lastColumn="0" w:noHBand="0" w:noVBand="0" w:val="0000"/>
      </w:tblPr>
      <w:tblGrid>
        <w:gridCol w:w="7920"/>
      </w:tblGrid>
      <w:tr>
        <w:tc>
          <w:tcPr/>
          <w:bookmarkStart w:id="170" w:name="fig-binom-ci-2"/>
          <w:p>
            <w:pPr>
              <w:pStyle w:val="Compact"/>
              <w:jc w:val="center"/>
            </w:pPr>
            <w:r>
              <w:drawing>
                <wp:inline>
                  <wp:extent cx="6261100" cy="3056013"/>
                  <wp:effectExtent b="0" l="0" r="0" t="0"/>
                  <wp:docPr descr="" title="" id="168" name="Picture"/>
                  <a:graphic>
                    <a:graphicData uri="http://schemas.openxmlformats.org/drawingml/2006/picture">
                      <pic:pic>
                        <pic:nvPicPr>
                          <pic:cNvPr descr="power_files/figure-docx/fig-binom-ci-2-output-1.png" id="169" name="Picture"/>
                          <pic:cNvPicPr>
                            <a:picLocks noChangeArrowheads="1" noChangeAspect="1"/>
                          </pic:cNvPicPr>
                        </pic:nvPicPr>
                        <pic:blipFill>
                          <a:blip r:embed="rId167"/>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0"/>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1"/>
    <w:bookmarkEnd w:id="172"/>
    <w:bookmarkEnd w:id="173"/>
    <w:bookmarkStart w:id="188"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0" w:name="нормальний-розподіл"/>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4"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4"/>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5"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5"/>
        </w:tc>
      </w:tr>
    </w:tbl>
    <w:tbl>
      <w:tblPr>
        <w:tblStyle w:val="Table"/>
        <w:tblW w:type="pct" w:w="5000"/>
        <w:tblLayout w:type="fixed"/>
        <w:tblLook w:firstRow="0" w:lastRow="0" w:firstColumn="0" w:lastColumn="0" w:noHBand="0" w:noVBand="0" w:val="0000"/>
      </w:tblPr>
      <w:tblGrid>
        <w:gridCol w:w="7920"/>
      </w:tblGrid>
      <w:tr>
        <w:tc>
          <w:tcPr/>
          <w:bookmarkStart w:id="179" w:name="fig-normal-distribution"/>
          <w:p>
            <w:pPr>
              <w:pStyle w:val="Compact"/>
              <w:jc w:val="center"/>
            </w:pPr>
            <w:r>
              <w:drawing>
                <wp:inline>
                  <wp:extent cx="6261100" cy="3018744"/>
                  <wp:effectExtent b="0" l="0" r="0" t="0"/>
                  <wp:docPr descr="" title="" id="177" name="Picture"/>
                  <a:graphic>
                    <a:graphicData uri="http://schemas.openxmlformats.org/drawingml/2006/picture">
                      <pic:pic>
                        <pic:nvPicPr>
                          <pic:cNvPr descr="z-test_files/figure-docx/fig-normal-distribution-output-1.png" id="178" name="Picture"/>
                          <pic:cNvPicPr>
                            <a:picLocks noChangeArrowheads="1" noChangeAspect="1"/>
                          </pic:cNvPicPr>
                        </pic:nvPicPr>
                        <pic:blipFill>
                          <a:blip r:embed="rId17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79"/>
        </w:tc>
      </w:tr>
    </w:tbl>
    <w:bookmarkEnd w:id="180"/>
    <w:bookmarkStart w:id="187" w:name="нормальний-розподіл-у-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1"/>
      </w:r>
      <w:r>
        <w:t xml:space="preserve">.</w:t>
      </w:r>
    </w:p>
    <w:p>
      <w:pPr>
        <w:pStyle w:val="BodyText"/>
      </w:pPr>
      <w:r>
        <w:t xml:space="preserve">Параметри класу:</w:t>
      </w:r>
    </w:p>
    <w:p>
      <w:pPr>
        <w:pStyle w:val="Compact"/>
        <w:numPr>
          <w:ilvl w:val="0"/>
          <w:numId w:val="1012"/>
        </w:numPr>
      </w:pPr>
      <w:r>
        <w:rPr>
          <w:rStyle w:val="VerbatimChar"/>
        </w:rPr>
        <w:t xml:space="preserve">loc</w:t>
      </w:r>
      <w:r>
        <w:t xml:space="preserve"> </w:t>
      </w:r>
      <w:r>
        <w:t xml:space="preserve">— це</w:t>
      </w:r>
      <w:r>
        <w:t xml:space="preserve"> </w:t>
      </w:r>
      <m:oMath>
        <m:r>
          <m:t>μ</m:t>
        </m:r>
      </m:oMath>
    </w:p>
    <w:p>
      <w:pPr>
        <w:pStyle w:val="Compact"/>
        <w:numPr>
          <w:ilvl w:val="0"/>
          <w:numId w:val="1012"/>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3"/>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3"/>
        </w:numPr>
      </w:pPr>
      <w:r>
        <w:rPr>
          <w:rStyle w:val="VerbatimChar"/>
        </w:rPr>
        <w:t xml:space="preserve">cdf(x)</w:t>
      </w:r>
      <w:r>
        <w:t xml:space="preserve"> </w:t>
      </w:r>
      <w:r>
        <w:t xml:space="preserve">— кумулятивна функція розподілу (CDF) в точці</w:t>
      </w:r>
      <w:r>
        <w:t xml:space="preserve"> </w:t>
      </w:r>
      <m:oMath>
        <m:r>
          <m:t>x</m:t>
        </m:r>
      </m:oMath>
      <w:r>
        <w:t xml:space="preserve">.</w:t>
      </w:r>
    </w:p>
    <w:p>
      <w:pPr>
        <w:pStyle w:val="Compact"/>
        <w:numPr>
          <w:ilvl w:val="0"/>
          <w:numId w:val="1013"/>
        </w:numPr>
      </w:pPr>
      <w:r>
        <w:rPr>
          <w:rStyle w:val="VerbatimChar"/>
        </w:rPr>
        <w:t xml:space="preserve">ppf(q)</w:t>
      </w:r>
      <w:r>
        <w:t xml:space="preserve"> </w:t>
      </w:r>
      <w:r>
        <w:t xml:space="preserve">— квантиль функції розподілу (quantile function) в точці</w:t>
      </w:r>
      <w:r>
        <w:t xml:space="preserve"> </w:t>
      </w:r>
      <m:oMath>
        <m:r>
          <m:t>q</m:t>
        </m:r>
      </m:oMath>
      <w:r>
        <w:t xml:space="preserve">.</w:t>
      </w:r>
    </w:p>
    <w:p>
      <w:pPr>
        <w:pStyle w:val="Compact"/>
        <w:numPr>
          <w:ilvl w:val="0"/>
          <w:numId w:val="1013"/>
        </w:numPr>
      </w:pPr>
      <w:r>
        <w:rPr>
          <w:rStyle w:val="VerbatimChar"/>
        </w:rPr>
        <w:t xml:space="preserve">pdf(x)</w:t>
      </w:r>
      <w:r>
        <w:t xml:space="preserve"> </w:t>
      </w:r>
      <w:r>
        <w:t xml:space="preserve">— щільність ймовірності (PDF) в точці</w:t>
      </w:r>
      <w:r>
        <w:t xml:space="preserve"> </w:t>
      </w:r>
      <m:oMath>
        <m:r>
          <m:t>x</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6" w:name="fig-normal-distribution-2"/>
          <w:p>
            <w:pPr>
              <w:pStyle w:val="Compact"/>
              <w:jc w:val="center"/>
            </w:pPr>
            <w:r>
              <w:drawing>
                <wp:inline>
                  <wp:extent cx="6261100" cy="2992030"/>
                  <wp:effectExtent b="0" l="0" r="0" t="0"/>
                  <wp:docPr descr="" title="" id="184" name="Picture"/>
                  <a:graphic>
                    <a:graphicData uri="http://schemas.openxmlformats.org/drawingml/2006/picture">
                      <pic:pic>
                        <pic:nvPicPr>
                          <pic:cNvPr descr="z-test_files/figure-docx/fig-normal-distribution-2-output-1.png" id="185" name="Picture"/>
                          <pic:cNvPicPr>
                            <a:picLocks noChangeArrowheads="1" noChangeAspect="1"/>
                          </pic:cNvPicPr>
                        </pic:nvPicPr>
                        <pic:blipFill>
                          <a:blip r:embed="rId183"/>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Нормальний розподіл з параметрами</w:t>
            </w:r>
            <w:r>
              <w:t xml:space="preserve"> </w:t>
            </w:r>
            <m:oMath>
              <m:r>
                <m:t>μ</m:t>
              </m:r>
              <m:r>
                <m:rPr>
                  <m:sty m:val="p"/>
                </m:rPr>
                <m:t>=</m:t>
              </m:r>
              <m:r>
                <m:t>0</m:t>
              </m:r>
            </m:oMath>
            <w:r>
              <w:t xml:space="preserve">,</w:t>
            </w:r>
            <w:r>
              <w:t xml:space="preserve"> </w:t>
            </w:r>
            <m:oMath>
              <m:r>
                <m:t>σ</m:t>
              </m:r>
              <m:r>
                <m:rPr>
                  <m:sty m:val="p"/>
                </m:rPr>
                <m:t>=</m:t>
              </m:r>
              <m:r>
                <m:t>1</m:t>
              </m:r>
            </m:oMath>
          </w:p>
          <w:bookmarkEnd w:id="186"/>
        </w:tc>
      </w:tr>
    </w:tbl>
    <w:bookmarkEnd w:id="187"/>
    <w:bookmarkEnd w:id="188"/>
    <w:bookmarkStart w:id="189" w:name="sec-t-test"/>
    <w:p>
      <w:pPr>
        <w:pStyle w:val="Heading1"/>
      </w:pPr>
      <w:r>
        <w:t xml:space="preserve">4. </w:t>
      </w:r>
      <m:oMath>
        <m:r>
          <m:t>t</m:t>
        </m:r>
      </m:oMath>
      <w:r>
        <w:t xml:space="preserve">-критерій Стьюдента</w:t>
      </w:r>
    </w:p>
    <w:bookmarkEnd w:id="189"/>
    <w:bookmarkStart w:id="190" w:name="sec-monte-carlo"/>
    <w:p>
      <w:pPr>
        <w:pStyle w:val="Heading1"/>
      </w:pPr>
      <w:r>
        <w:t xml:space="preserve">5. Монте-Карло в задачах статистики</w:t>
      </w:r>
    </w:p>
    <w:bookmarkEnd w:id="190"/>
    <w:bookmarkStart w:id="191" w:name="підсумки"/>
    <w:p>
      <w:pPr>
        <w:pStyle w:val="Heading1"/>
      </w:pPr>
      <w:r>
        <w:t xml:space="preserve">Підсумки</w:t>
      </w:r>
    </w:p>
    <w:bookmarkEnd w:id="191"/>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4">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8">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1">
    <w:p>
      <w:pPr>
        <w:pStyle w:val="FootnoteText"/>
      </w:pPr>
      <w:r>
        <w:rPr>
          <w:rStyle w:val="FootnoteReference"/>
        </w:rPr>
        <w:footnoteRef/>
      </w:r>
      <w:r>
        <w:t xml:space="preserve"> </w:t>
      </w:r>
      <w:r>
        <w:t xml:space="preserve">Документація доступна за посиланням</w:t>
      </w:r>
      <w:r>
        <w:t xml:space="preserve"> </w:t>
      </w:r>
      <w:hyperlink r:id="rId182">
        <w:r>
          <w:rPr>
            <w:rStyle w:val="Hyperlink"/>
          </w:rPr>
          <w:t xml:space="preserve">https://docs.scipy.org/doc/scipy/reference/generated/scipy.stats.norm.html</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158" Target="media/rId158.png" /><Relationship Type="http://schemas.openxmlformats.org/officeDocument/2006/relationships/image" Id="rId167" Target="media/rId167.png" /><Relationship Type="http://schemas.openxmlformats.org/officeDocument/2006/relationships/image" Id="rId149" Target="media/rId149.png" /><Relationship Type="http://schemas.openxmlformats.org/officeDocument/2006/relationships/image" Id="rId140" Target="media/rId140.png" /><Relationship Type="http://schemas.openxmlformats.org/officeDocument/2006/relationships/image" Id="rId130" Target="media/rId130.png"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183" Target="media/rId183.png" /><Relationship Type="http://schemas.openxmlformats.org/officeDocument/2006/relationships/image" Id="rId176" Target="media/rId176.png" /><Relationship Type="http://schemas.openxmlformats.org/officeDocument/2006/relationships/hyperlink" Id="rId182" Target="https://docs.scipy.org/doc/scipy/reference/generated/scipy.stats.norm.html" TargetMode="External" /></Relationships>
</file>

<file path=word/_rels/footnotes.xml.rels><?xml version="1.0" encoding="UTF-8"?><Relationships xmlns="http://schemas.openxmlformats.org/package/2006/relationships"><Relationship Type="http://schemas.openxmlformats.org/officeDocument/2006/relationships/hyperlink" Id="rId182" Target="https://docs.scipy.org/doc/scipy/reference/generated/scipy.stats.nor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2025-04-03T11:23:43Z</dcterms:created>
  <dcterms:modified xsi:type="dcterms:W3CDTF">2025-04-03T11:23:43Z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de-annotations">
    <vt:lpwstr>below</vt:lpwstr>
  </property>
  <property fmtid="{D5CDD505-2E9C-101B-9397-08002B2CF9AE}" pid="10" name="crossref">
    <vt:lpwstr/>
  </property>
  <property fmtid="{D5CDD505-2E9C-101B-9397-08002B2CF9AE}" pid="11" name="date">
    <vt:lpwstr>2025-04-03</vt:lpwstr>
  </property>
  <property fmtid="{D5CDD505-2E9C-101B-9397-08002B2CF9AE}" pid="12" name="date-format">
    <vt:lpwstr>iso</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emplate-partials">
    <vt:lpwstr/>
  </property>
  <property fmtid="{D5CDD505-2E9C-101B-9397-08002B2CF9AE}" pid="18" name="toc-title">
    <vt:lpwstr>Зміст</vt:lpwstr>
  </property>
</Properties>
</file>