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Omboo</w:t>
      </w:r>
    </w:p>
    <w:p>
      <w:pPr>
        <w:spacing w:after="60"/>
      </w:pPr>
      <w:r>
        <w:rPr>
          <w:rFonts w:ascii="Arial" w:cs="Arial" w:eastAsia="Arial" w:hAnsi="Arial"/>
          <w:color w:val="6B3FA0"/>
          <w:sz w:val="26"/>
          <w:szCs w:val="26"/>
        </w:rPr>
        <w:t xml:space="preserve">(Օմբու) · ՄՌԿ թվային հարթակ</w:t>
      </w:r>
    </w:p>
    <w:p>
      <w:pPr>
        <w:spacing w:after="60"/>
      </w:pPr>
      <w:r>
        <w:rPr>
          <w:rFonts w:ascii="Arial" w:cs="Arial" w:eastAsia="Arial" w:hAnsi="Arial"/>
          <w:color w:val="44546A"/>
          <w:sz w:val="22"/>
          <w:szCs w:val="22"/>
        </w:rPr>
        <w:t xml:space="preserve">Տեխնիկական հանձնարարագիր Claude Code-ի համար — production build handoff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Պատրաստված՝ Claude-ի կողմից (claude.ai խոսակցությունից), 2026 թ. օգոստոս</w:t>
      </w:r>
    </w:p>
    <w:p>
      <w:pPr>
        <w:pStyle w:val="Heading1"/>
        <w:spacing w:after="160" w:before="340"/>
      </w:pPr>
      <w:r>
        <w:t xml:space="preserve">1. Ամփոփ ակնարկ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Omboo-ն ՀՀ շուկայի համար նախատեսված վեբ և բջջային ՄՌԿ (մարդկային ռեսուրսների կառավարման) հարթակ է, որի նպատակն է հեշտացնել գործատու-աշխատող կապը, մեծացնել փոխադարձ վստահությունը և ապահովել ստեղծագործական համագործակցության տարածք՝ խստորեն հիմնված ՀՀ աշխատանքային oրենսգրքի վրա։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Ընթացիկ վիճակ. դոմեյնը և հոսթինգը պատրաստ են։ Փուլ 1-ի (արձակուրդի/բացակայության հայտ-դիմումների կառավարում) տրամաբանությունն ու UX-ը մշակվել ու ամրագրվել են ինտերակտիվ նախատիպով (կցվում է առանձին՝ mrk_prototype.jsx)։ Այս փաստաթղթի նպատակն է տալ Claude Code-ին ամբողջ անհրաժեշտ համատեքստը, որպեսզի արտադրական կոդի կառուցումն սկսվի անմիջապես, առանց այս որոշումները կրկին քննարկելու անհրաժեշտության։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Խնդրում ենք Claude Code-ից. կարդալ այս փաստաթուղթը ամբողջությամբ, ապա կարդալ կցված mrk_prototype.jsx ֆայլը՝ որպես UI/UX և բիզնես-տրամաբանության հղման կետ (ոչ թե ուղղակիորեն պատճենել, այլ որպես validated reference)։</w:t>
      </w:r>
    </w:p>
    <w:p>
      <w:pPr>
        <w:pStyle w:val="Heading1"/>
        <w:spacing w:after="160" w:before="340"/>
      </w:pPr>
      <w:r>
        <w:t xml:space="preserve">2. Ապրանքանիշ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Անվանում՝ Omboo (լատինատառ) / Օմբու (հայատառ)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Դոմեյն և հոսթինգ՝ պատրաստ են (մանրամասները հասանելի են արտադրանքի սեփականատիրոջ մոտ)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Վիզուալ ուղղություն՝ ժամանակակից, «bamboo»-ի հետ հնչյունական զուգորդմամբ (աճ, ճկունություն, արմատներ)՝ կարելի է կիրառել կանաչ/օրգանական տարրեր logo-ում</w:t>
      </w:r>
    </w:p>
    <w:p>
      <w:pPr>
        <w:pStyle w:val="Heading1"/>
        <w:spacing w:after="160" w:before="340"/>
      </w:pPr>
      <w:r>
        <w:t xml:space="preserve">3. Առաջարկվող տեխնիկական ճարտարապետություն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Մեկ git repository (monorepo), որտեղ web-ը, mobile-ը և backend-ը կիսում են նույն բիզնես-տրամաբանության շերտը.</w:t>
      </w:r>
    </w:p>
    <w:p>
      <w:pPr>
        <w:shd w:fill="F2F1ED" w:val="clear"/>
        <w:spacing w:after="4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apps/web        — React + Vite (կամ Next.js)</w:t>
      </w:r>
    </w:p>
    <w:p>
      <w:pPr>
        <w:shd w:fill="F2F1ED" w:val="clear"/>
        <w:spacing w:after="4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apps/mobile     — React Native / Expo</w:t>
      </w:r>
    </w:p>
    <w:p>
      <w:pPr>
        <w:shd w:fill="F2F1ED" w:val="clear"/>
        <w:spacing w:after="4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apps/api        — Node.js backend (NestJS առաջարկվող)</w:t>
      </w:r>
    </w:p>
    <w:p>
      <w:pPr>
        <w:shd w:fill="F2F1ED" w:val="clear"/>
        <w:spacing w:after="4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packages/shared — բիզնես-տրամաբանություն, validation, տեսակներ (types)</w:t>
      </w:r>
    </w:p>
    <w:p>
      <w:pPr>
        <w:shd w:fill="F2F1ED" w:val="clear"/>
        <w:spacing w:after="40"/>
      </w:pPr>
      <w:r>
        <w:rPr>
          <w:rFonts w:ascii="Consolas" w:cs="Consolas" w:eastAsia="Consolas" w:hAnsi="Consolas"/>
          <w:color w:val="1B2A4A"/>
          <w:sz w:val="19"/>
          <w:szCs w:val="19"/>
        </w:rPr>
        <w:t xml:space="preserve">packages/database — PostgreSQL schema + migrations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Auth՝ JWT-based, 3 դեր (աշխատող, տնoրեն, ՄՌԿ մասնագետ), role-based access control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Email՝ իրական transactional email ծառայություն (SendGrid, Resend կամ նման) պետք է ընտրվի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PDF՝ սերվեր-ից գեներացվող (ոչ թե browser print), իրական հրամանների համար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Ֆայլերի պահեստ՝ ստորագրության սկան պատկերների և ապագա փաստաթղթերի համար (S3-համատեղելի)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Տվյալների տեղակայում՝ հաշվի առնել ՀՀ անձնական տվյալների պաշտպանության oրենքի պահանջները</w:t>
      </w:r>
    </w:p>
    <w:p>
      <w:pPr>
        <w:pStyle w:val="Heading1"/>
        <w:spacing w:after="160" w:before="340"/>
      </w:pPr>
      <w:r>
        <w:t xml:space="preserve">4. Դիզայն համակարգ (փոխանցել prototype-ից)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3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Փոփոխական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Արժեք</w:t>
            </w:r>
          </w:p>
        </w:tc>
        <w:tc>
          <w:tcPr>
            <w:tcW w:type="dxa" w:w="5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Կիրառություն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INK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#1B2A4A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Հիմնական տեքստ, headers, primary button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#F7F6F2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Ֆոն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#6B3FA0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Accent, ընդգծված գործողություններ, «կնիք» վիզուալ տարր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#E3E0D8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Border-ներ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MUTED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#7C8092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Երկրորդային տեքստ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Վերնագրեր՝ Georgia/serif; հիմնական տեքստ՝ system-ui/sans-serif; հղումային համարներ (հրամանի id)՝ monospace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Ստորագրված պաշտոնական փաստաթղթերի համար կիրառված է շրջանաձև, կետագծով «կնիք» (stamp) վիզուալ մոտիվ՝ արձակուրդի մնացորդների և կարգավիճակի համար. սա արժե պահպանել որպես ապրանքանիշային ինքնատիպ տարր</w:t>
      </w:r>
    </w:p>
    <w:p>
      <w:pPr>
        <w:pStyle w:val="Heading1"/>
        <w:spacing w:after="160" w:before="340"/>
      </w:pPr>
      <w:r>
        <w:t xml:space="preserve">5. Դերեր և իրավասություններ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Դեր</w:t>
            </w:r>
          </w:p>
        </w:tc>
        <w:tc>
          <w:tcPr>
            <w:tcW w:type="dxa" w:w="7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Իրավասություններ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Աշխատող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Ուղարկում է հայտ-դիմումներ (արձակուրդ, ազատ oր, հիվանդության թերթիկ, անվճար արձակուրդ), տեսնում է միայն իր տվյալները, հաստատում/մերժում է հետկանչման հայտեր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Տնoրեն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Հաստատում/մերժում է հայտ-դիմումները (մերժումը պարտադիր հիմնավորմամբ), տեսնում է թիմային oրացույցը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ՄՌԿ մասնագետ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Ամբողջական ադմին հասանելիություն. աշխատողների կառավարում, արձակուրդային տվյալների սկզբնական մուտքագրում, հրամանների գեներացում և ստորագրում, կազմակերպության կարգավորումներ, աուդիտի մատյան</w:t>
            </w:r>
          </w:p>
        </w:tc>
      </w:tr>
    </w:tbl>
    <w:p>
      <w:pPr>
        <w:pStyle w:val="Heading1"/>
        <w:spacing w:after="160" w:before="340"/>
      </w:pPr>
      <w:r>
        <w:t xml:space="preserve">6. Տվյալների մոդել</w:t>
      </w:r>
    </w:p>
    <w:p>
      <w:pPr>
        <w:pStyle w:val="Heading2"/>
        <w:spacing w:after="120" w:before="240"/>
      </w:pPr>
      <w:r>
        <w:t xml:space="preserve">6.1 Employee (Աշխատող)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9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Դաշտ</w:t>
            </w:r>
          </w:p>
        </w:tc>
        <w:tc>
          <w:tcPr>
            <w:tcW w:type="dxa" w:w="1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Տեսակ</w:t>
            </w:r>
          </w:p>
        </w:tc>
        <w:tc>
          <w:tcPr>
            <w:tcW w:type="dxa" w:w="5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Նշանակություն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name, position, email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Հիմնական ինքնության տվյալներ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hireDate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Աշխատանքի անցնելու oր. հիմք է անհատական աշխատանքային տարվա հաշվարկի համար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minimumDays, extendedDays, additionalDays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Երեք անկախ դաշտ (հոդված 159, 160, 161). ընդամենը = երեքի հանրագումարը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annualTotal, balance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Հաշվարկված ընդամենը և ընթացիկ մնացորդ (oրենքով սահմանված արձակուրդ)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dayOffBalance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Առանձին, ներքին կանոնակարգով հաստատված «ազատ oր» մնացորդ (oրենքից անկախ)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lastVacationRequestDate, lastReminderFired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date/null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2,5-տարյա հիշեցման տրամաբանության համար (հոդված 164.10)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tenDayChunkConfirmed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ՄՌԿ-ի ձեռքով նշում, որ 10-oրյա նվազագույն հատվածի պահանջը (հոդված 163) արդեն բավարարված է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priorityFlags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boolean դաշտ՝ արձակուրդի ժամանակի ընտրության առաջնահերթություն ունեցող կատեգորիաներ (հոդված 164.4, 164.6, 164.8-9)</w:t>
            </w:r>
          </w:p>
        </w:tc>
      </w:tr>
    </w:tbl>
    <w:p>
      <w:pPr>
        <w:pStyle w:val="Heading2"/>
        <w:spacing w:after="120" w:before="240"/>
      </w:pPr>
      <w:r>
        <w:t xml:space="preserve">6.2 Request (Հայտ-դիմում)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1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Դաշտ</w:t>
            </w:r>
          </w:p>
        </w:tc>
        <w:tc>
          <w:tcPr>
            <w:tcW w:type="dxa" w:w="1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Տեսակ</w:t>
            </w:r>
          </w:p>
        </w:tc>
        <w:tc>
          <w:tcPr>
            <w:tcW w:type="dxa" w:w="6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Նշանակություն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vacation | unpaid | sick | dayoff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start, end, days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date/number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Ժամանակահատված (աշխատանքային oրերով հաշվարկված)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submitted → approved/rejected → order_created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history[]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Ամբողջական աուդիտի հետագիծ (քայլ, կատարող, ամսաթիվ, հիմնավորում)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orderNumber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Հրամանի համար, տրվում է ստորագրման պահին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recall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object/null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{requestedEnd, reason, status, orderNumber} — վաղաժամկետ վերադարձի հոսքի համար</w:t>
            </w:r>
          </w:p>
        </w:tc>
      </w:tr>
    </w:tbl>
    <w:p>
      <w:pPr>
        <w:pStyle w:val="Heading2"/>
        <w:spacing w:after="120" w:before="240"/>
      </w:pPr>
      <w:r>
        <w:t xml:space="preserve">6.3 OrgSettings (Կազմակերպության կարգավորումներ)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companyName, address, phone, email, directorName, directorSignature (base64/file reference), hrName, hrEmail — մուտքագրվում է մեկ անգամ, կիրառվում է բոլոր գեներացվող փաստաթղթերում։</w:t>
      </w:r>
    </w:p>
    <w:p>
      <w:pPr>
        <w:pStyle w:val="Heading1"/>
        <w:spacing w:after="160" w:before="340"/>
      </w:pPr>
      <w:r>
        <w:t xml:space="preserve">7. Իրավական կանոններ, որոնք պարտադիր պետք է պահպանվեն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Սա արտադրանքի ամենակարևոր, ամենաշատ ուշադրություն պահանջած մասն է։ Յուրաքանչյուր կանոն ամրագրված է ՀՀ աշխատանքային oրենսգրքի կոնկրետ հոդվածով և արդեն թեստավորված է նախատիպում։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700"/>
      </w:tblGrid>
      <w:tr>
        <w:trPr>
          <w:tblHeader/>
        </w:trPr>
        <w:tc>
          <w:tcPr>
            <w:tcW w:type="dxa" w:w="1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Հոդված</w:t>
            </w:r>
          </w:p>
        </w:tc>
        <w:tc>
          <w:tcPr>
            <w:tcW w:type="dxa" w:w="3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Կանոն</w:t>
            </w:r>
          </w:p>
        </w:tc>
        <w:tc>
          <w:tcPr>
            <w:tcW w:type="dxa" w:w="4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Կիրառություն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159, 160, 161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Արձակուրդի 3 անկախ տեսակ՝ նվազագույն (20/24 oր), երկարացված (25/30, երբեմն 35/42), լրացուցիչ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առանձին խմբագրելի դաշտ ադմին-պանելում, հանրագումարը՝ ցուցադրական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163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Արձակուրդի բաժանում մասերի. գոնե մեկ հատված ≥10 աշխ. oր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Դինամիկ, մնացորդի վրա հիմնված ստուգում. կարճ հատվածներ թույլատրվում են քանի դեռ մնացորդը հայտից հետո &gt; 10 oր, կամ եթե պահանջն արդեն բավարարված է (avtomat հայտնաբերում կամ ՄՌԿ-ի ձեռքով նշում)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164.1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Անհատական աշխատանքային տարի (ոչ oրացուցային)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workYearBounds(hireDate, today) ֆունկցիա, հաշվարկում է ընթացիկ տարվա սահմանները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164.4, 164.6, 164.8-9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Առաջնահերթության իրավունքով խմբեր (մինչև 18, հղի/փոքր երեխայի ծնող, ուսուցիչ, խնամող, զոհ)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boolean flag, ցուցադրվում է հայտի ձևում որպես տեղեկատվական հուշում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164.10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 տարի չօգտագործված արձակուրդի դեպքում գործատուն ինքնուրույն նշանակում է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Ավտոմատ ծանուցման cadence՝ 30/20 oր, ապա ամեն oր վերջին 10 oրում, ուղիղ «Նշանակել» գործիք ՄՌԿ-ի համար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166, 167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Հետկանչում արձակուրդից միայն աշխատողի համաձայնությամբ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Երկքայլ հոսք՝ ՄՌԿ-ի հայտ → աշխատողի համաձայնություն/մերժում → ՄՌԿ-ի հետկանչման հրաման, մնացորդի ավտոմատ վերադարձով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169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Արձակուրդի վճարումը՝ ոչ ուշ, քան սկզբից 3 oր առաջ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Հայտի ուղարկման պահին ստուգվում է՝ մինչև վճարման ժամկետը մնում է առնվազն 2 աշխատանքային oր՝ ձևակերպման համար, ոչ թե ֆիքսված oրեր submission-ից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170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Չօգտագործված արձակուրդի դրամական փոխհատուցում՝ միայն աշխատանքից ազատվելիս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Չիրագործված ֆունկցիա. cash-out ընտրանք չպետք է առաջարկվի ակտիվ աշխատողներին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Աշխատանքային պայմանագրի 14 պարտադիր տարր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Հիմք Փուլ 3-ի (փաստաթղթեր) կաղապարի համար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85, 13.3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2027 թ. հուլիսի 1-ից պարտադիր թվային ստորագրություն պետական համակարգով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Կրիտիկական ժամկետ Փուլ 3-ի ինտեգրման պլանավորման համար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131-136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Անձնական տվյալների պաշտպանություն. արգելվում է որոշում կայացնել բացառապես ավտոմատ մշակման հիման վրա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Ապագա գնահատման/վերլուծական ֆունկցիաներում (Փուլ 5) միշտ պահանջել մարդու վերանայում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226-230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Կարգապահական տույժի ընթացակարգ. գրավոր բացատրություն, կիրառում 1 ամսվա ընթացքում (առավելագույնը 6 ամիս խախտումից)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Փուլ 2+-ի կարգապահական հոսքի համար. ժամկետների ավտոմատ վավերացում</w:t>
            </w:r>
          </w:p>
        </w:tc>
      </w:tr>
    </w:tbl>
    <w:p>
      <w:pPr>
        <w:pStyle w:val="Heading1"/>
        <w:spacing w:after="160" w:before="340"/>
      </w:pPr>
      <w:r>
        <w:t xml:space="preserve">8. Հիմնական աշխատանքային հոսքեր</w:t>
      </w:r>
    </w:p>
    <w:p>
      <w:pPr>
        <w:pStyle w:val="Heading2"/>
        <w:spacing w:after="120" w:before="240"/>
      </w:pPr>
      <w:r>
        <w:t xml:space="preserve">8.1 Հայտ-դիմում → հաստատում → հրաման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Աշխատողը ուղարկում է հայտ-դիմում (oրենքով/ներքին տրամաբանությամբ վավերացված)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Տնoրենը հաստատում կամ մերժում է (մերժումը՝ պարտադիր հիմնավորմամբ). հաստատման պահին մնացորդը նվազում է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ՄՌԿ մասնագետը գեներացնում է հրամանի նախադիտումը (առանց ստորագրության), ընթերցում, ապա հաստատում և ստորագրում — միայն դրանից հետո հայտնվում է տնoրենի սկան ստորագրությունը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Ստորագրված հրամանը (PDF) ուղարկվում է աշխատողի և ՄՌԿ մասնագետի էլ. փոստերին</w:t>
      </w:r>
    </w:p>
    <w:p>
      <w:pPr>
        <w:pStyle w:val="Heading2"/>
        <w:spacing w:after="120" w:before="240"/>
      </w:pPr>
      <w:r>
        <w:t xml:space="preserve">8.2 Հետկանչում համաձայնությամբ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ՄՌԿ-ն ուղարկում է հետկանչման հայտ ընթացիկ/uzarko արձակուրդի համար → աշխատողը համաձայնում/մերժում է → համաձայնության դեպքում ՄՌԿ-ն կազմում է հետկանչման հրաման, մնացորդը ավտոմատ ճշգրտվում է</w:t>
      </w:r>
    </w:p>
    <w:p>
      <w:pPr>
        <w:pStyle w:val="Heading2"/>
        <w:spacing w:after="120" w:before="240"/>
      </w:pPr>
      <w:r>
        <w:t xml:space="preserve">8.3 2,5-տարյա հիշեցում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Համակարգը հետևում է lastVacationRequestDate-ին, ինքնաշխատ ծանուցում ուղարկում ՄՌԿ-ին և աշխատողին սահմանված cadence-ով</w:t>
      </w:r>
    </w:p>
    <w:p>
      <w:pPr>
        <w:pStyle w:val="Heading1"/>
        <w:spacing w:after="160" w:before="340"/>
      </w:pPr>
      <w:r>
        <w:t xml:space="preserve">9. Փուլային ճանապարհային քարտեզ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00"/>
        <w:gridCol w:w="2700"/>
      </w:tblGrid>
      <w:tr>
        <w:trPr>
          <w:tblHeader/>
        </w:trPr>
        <w:tc>
          <w:tcPr>
            <w:tcW w:type="dxa" w:w="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Փուլ</w:t>
            </w:r>
          </w:p>
        </w:tc>
        <w:tc>
          <w:tcPr>
            <w:tcW w:type="dxa" w:w="6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Բովանդակություն</w:t>
            </w:r>
          </w:p>
        </w:tc>
        <w:tc>
          <w:tcPr>
            <w:tcW w:type="dxa" w:w="2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Կարգավիճակ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Արձակուրդ/բացակայության հայտ-դիմումների կառավարում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Նախատիպով վավերացված, պատրաստ production-ի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Աշխատավարձի բացվածք, հաշվարկային թերթիկ, կարգապահական հրամաններ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Concept փուլում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Աշխատանքային պայմանագրեր և այլ փաստաթղթեր, էլ. ստորագրում, ՀԾ ինտեգրում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Concept փուլում. 2027 թ. հուլիսի 1 վերջնաժամկետ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Կազմակերպչական կառուցվածք և հաստիքացուցակ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Concept փուլում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Անձնակազմի գնահատման համակարգ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Concept փուլում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Հաշվետվություններ և վերլուծություն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Concept փուլում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Բոլոր փուլերում կիրառելի հորիզոնական մոդուլներ. Վստահության կենտրոն (թափանցիկ կարգավիճակի հետագիծ, հիմնավորված մերժումներ, աուդիտի մատյան) և Ստեղծագործական համագործակցություն (գաղափարների արկղ, kudos wall, մենթորության շուկա) — երկուսն էլ մանրամասնված են առանձին կոնցեպտ փաստաթղթում։</w:t>
      </w:r>
    </w:p>
    <w:p>
      <w:pPr>
        <w:pStyle w:val="Heading1"/>
        <w:spacing w:after="160" w:before="340"/>
      </w:pPr>
      <w:r>
        <w:t xml:space="preserve">10. Չլուծված/կախյալ հարցեր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ՀԾ 9-ի API հասանելիություն դեռ հաստատված չէ. Փուլ 1-ը կարող է սկսվել առանց դրա (անկախ տվյալներով), ինտեգրումը՝ հետագայում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Email service provider-ի ընտրություն (SendGrid/Resend/այլ)՝ դոմեյնի հետ կապակցման համար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Վերջնական հաստատում՝ որ cloud/հոսթինգ միջավայրում է տեղակայված արտադրանքը, և արդյոք բավարարում է անձնական տվյալների տեղակայման պահանջները</w:t>
      </w:r>
    </w:p>
    <w:p>
      <w:pPr>
        <w:pStyle w:val="Heading1"/>
        <w:spacing w:after="160" w:before="340"/>
      </w:pPr>
      <w:r>
        <w:t xml:space="preserve">11. Կցված նյութեր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mrk_prototype.jsx — ինտերակտիվ նախատիպ (React), որը ցույց է տալիս ամբողջ Փուլ 1-ի UX-ը և բիզնես-տրամաբանությունը իրական աշխատող տեսքով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Առանձին կոնցեպտ փաստաթուղթ (ավելի վաղ պատրաստված)՝ ամբողջական 6-փուլանոց տեսլականով, իրավական հիմքերով և Վստահության/Ստեղծագործական մոդուլների մանրամասն նկարագրով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2026-08-24T16:16:01.172Z</dcterms:created>
  <dcterms:modified xsi:type="dcterms:W3CDTF">2026-08-24T16:16:01.189Z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