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51093" w14:textId="77777777" w:rsidR="00E41FF8" w:rsidRDefault="00000000">
      <w:pPr>
        <w:pStyle w:val="Heading1"/>
      </w:pPr>
      <w:r>
        <w:t>Engineering Standards and Safety Protocols in Liquefied Petroleum Gas Cylinder Manufacturing: A Comprehensive Technical and Regulatory Analysis</w:t>
      </w:r>
    </w:p>
    <w:p w14:paraId="6EBED20F" w14:textId="15584325" w:rsidR="00692262" w:rsidRPr="00692262" w:rsidRDefault="00692262" w:rsidP="00692262">
      <w:r>
        <w:rPr>
          <w:noProof/>
        </w:rPr>
        <w:drawing>
          <wp:inline distT="0" distB="0" distL="0" distR="0" wp14:anchorId="76148FB2" wp14:editId="3CA9A03B">
            <wp:extent cx="5943600" cy="3241675"/>
            <wp:effectExtent l="0" t="0" r="0" b="0"/>
            <wp:docPr id="62729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95321" name="Picture 627295321"/>
                    <pic:cNvPicPr/>
                  </pic:nvPicPr>
                  <pic:blipFill>
                    <a:blip r:embed="rId5">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7F79AF84" w14:textId="77777777" w:rsidR="00E41FF8" w:rsidRDefault="00000000">
      <w:pPr>
        <w:pBdr>
          <w:top w:val="nil"/>
          <w:left w:val="nil"/>
          <w:bottom w:val="nil"/>
          <w:right w:val="nil"/>
          <w:between w:val="nil"/>
        </w:pBdr>
      </w:pPr>
      <w:r>
        <w:t>Liquefied Petroleum Gas (LPG)—consisting predominantly of commercial propane, butane, or engineered hydrocarbon mixtures—is stored and distributed under pressure in a liquid-vapor equilibrium state. The safety of the storage vessel is crucial because structural failure can result in catastrophic consequences, such as boiling liquid expanding vapor explosions (BLEVE), rapid gas release, or uncontrolled fire events. Consequently, the design, material selection, fabrication, and continuous testing of LPG cylinders are strictly regulated by international standards and governmental regulatory bodies.</w:t>
      </w:r>
    </w:p>
    <w:p w14:paraId="7A4F4C2B" w14:textId="77777777" w:rsidR="00E41FF8" w:rsidRDefault="00000000">
      <w:pPr>
        <w:pBdr>
          <w:top w:val="nil"/>
          <w:left w:val="nil"/>
          <w:bottom w:val="nil"/>
          <w:right w:val="nil"/>
          <w:between w:val="nil"/>
        </w:pBdr>
        <w:spacing w:after="225"/>
      </w:pPr>
      <w:r>
        <w:t>Manufacturing these pressure vessels requires a disciplined engineering approach that integrates metallurgical selection, precision cold forming, automated fusion welding, post-weld heat treatment (PWHT), and comprehensive quality assurance. Adherence to governmental frameworks—including the United States Department of Transportation (US DOT) Title 49 of the Code of Federal Regulations (49 CFR), the European Union Transportable Pressure Equipment Directive (2010/35/EU), and Japan’s High Pressure Gas Safety Act—ensures mechanical integrity throughout the container's operational lifecycle.</w:t>
      </w:r>
    </w:p>
    <w:p w14:paraId="4F29F925" w14:textId="77777777" w:rsidR="00E41FF8" w:rsidRDefault="00000000">
      <w:pPr>
        <w:pStyle w:val="Heading2"/>
        <w:spacing w:before="0"/>
      </w:pPr>
      <w:r>
        <w:t>Material Science and Metallurgical Specifications for LPG Pressure Receptacles</w:t>
      </w:r>
    </w:p>
    <w:p w14:paraId="1847CD19" w14:textId="77777777" w:rsidR="00E41FF8" w:rsidRDefault="00000000">
      <w:pPr>
        <w:pBdr>
          <w:top w:val="nil"/>
          <w:left w:val="nil"/>
          <w:bottom w:val="nil"/>
          <w:right w:val="nil"/>
          <w:between w:val="nil"/>
        </w:pBdr>
      </w:pPr>
      <w:r>
        <w:lastRenderedPageBreak/>
        <w:t xml:space="preserve">The construction of LPG cylinders relies on low-pressure welded steel or high-strength aluminum alloys capable of withstanding working service pressures ranging between 225 </w:t>
      </w:r>
      <w:proofErr w:type="spellStart"/>
      <w:r>
        <w:t>psig</w:t>
      </w:r>
      <w:proofErr w:type="spellEnd"/>
      <w:r>
        <w:t xml:space="preserve"> and 500 </w:t>
      </w:r>
      <w:proofErr w:type="spellStart"/>
      <w:r>
        <w:t>psig</w:t>
      </w:r>
      <w:proofErr w:type="spellEnd"/>
      <w:r>
        <w:t>. The material must maintain an optimal balance between yield strength and ductility to absorb external impact loads and withstand cyclic pressure variations caused by environmental temperature fluctuations and filling operations.</w:t>
      </w:r>
    </w:p>
    <w:p w14:paraId="1593E498" w14:textId="77777777" w:rsidR="00E41FF8" w:rsidRDefault="00000000">
      <w:pPr>
        <w:pBdr>
          <w:top w:val="nil"/>
          <w:left w:val="nil"/>
          <w:bottom w:val="nil"/>
          <w:right w:val="nil"/>
          <w:between w:val="nil"/>
        </w:pBdr>
      </w:pPr>
      <w:r>
        <w:t>Steel plate utilized in LPG pressure vessel fabrication must adhere to strict chemical limits to ensure high weldability and prevent embrittlement. Carbon content is strictly limited (typically below 0.15% to 0.25%) to mitigate the risk of cold cracking during automated high-speed welding processes. Key alloying elements are carefully regulated:</w:t>
      </w:r>
    </w:p>
    <w:p w14:paraId="65B54AA5" w14:textId="77777777" w:rsidR="00E41FF8" w:rsidRDefault="00000000">
      <w:pPr>
        <w:numPr>
          <w:ilvl w:val="0"/>
          <w:numId w:val="1"/>
        </w:numPr>
        <w:pBdr>
          <w:top w:val="nil"/>
          <w:left w:val="nil"/>
          <w:bottom w:val="nil"/>
          <w:right w:val="nil"/>
          <w:between w:val="nil"/>
        </w:pBdr>
      </w:pPr>
      <w:r>
        <w:rPr>
          <w:b/>
          <w:bCs/>
        </w:rPr>
        <w:t>Carbon (\text{C}):</w:t>
      </w:r>
      <w:r>
        <w:t xml:space="preserve"> Maintained at low levels to guarantee weldability while retaining baseline tensile capacity.</w:t>
      </w:r>
    </w:p>
    <w:p w14:paraId="76FD9B51" w14:textId="77777777" w:rsidR="00E41FF8" w:rsidRDefault="00000000">
      <w:pPr>
        <w:numPr>
          <w:ilvl w:val="0"/>
          <w:numId w:val="1"/>
        </w:numPr>
        <w:pBdr>
          <w:top w:val="nil"/>
          <w:left w:val="nil"/>
          <w:bottom w:val="nil"/>
          <w:right w:val="nil"/>
          <w:between w:val="nil"/>
        </w:pBdr>
      </w:pPr>
      <w:r>
        <w:rPr>
          <w:b/>
          <w:bCs/>
        </w:rPr>
        <w:t>Manganese (\</w:t>
      </w:r>
      <w:proofErr w:type="gramStart"/>
      <w:r>
        <w:rPr>
          <w:b/>
          <w:bCs/>
        </w:rPr>
        <w:t>text{</w:t>
      </w:r>
      <w:proofErr w:type="gramEnd"/>
      <w:r>
        <w:rPr>
          <w:b/>
          <w:bCs/>
        </w:rPr>
        <w:t>Mn}):</w:t>
      </w:r>
      <w:r>
        <w:t xml:space="preserve"> Used to enhance tensile strength and material toughness without reducing weld ductility.</w:t>
      </w:r>
    </w:p>
    <w:p w14:paraId="7A3C6A88" w14:textId="77777777" w:rsidR="00E41FF8" w:rsidRDefault="00000000">
      <w:pPr>
        <w:numPr>
          <w:ilvl w:val="0"/>
          <w:numId w:val="1"/>
        </w:numPr>
        <w:pBdr>
          <w:top w:val="nil"/>
          <w:left w:val="nil"/>
          <w:bottom w:val="nil"/>
          <w:right w:val="nil"/>
          <w:between w:val="nil"/>
        </w:pBdr>
      </w:pPr>
      <w:r>
        <w:rPr>
          <w:b/>
          <w:bCs/>
        </w:rPr>
        <w:t>Silicon (\</w:t>
      </w:r>
      <w:proofErr w:type="gramStart"/>
      <w:r>
        <w:rPr>
          <w:b/>
          <w:bCs/>
        </w:rPr>
        <w:t>text{</w:t>
      </w:r>
      <w:proofErr w:type="gramEnd"/>
      <w:r>
        <w:rPr>
          <w:b/>
          <w:bCs/>
        </w:rPr>
        <w:t>Si}):</w:t>
      </w:r>
      <w:r>
        <w:t xml:space="preserve"> Functions as a deoxidizing agent during steel refining, promoting uniform grain structure.</w:t>
      </w:r>
    </w:p>
    <w:p w14:paraId="7ACFEA33" w14:textId="77777777" w:rsidR="00E41FF8" w:rsidRDefault="00000000">
      <w:pPr>
        <w:numPr>
          <w:ilvl w:val="0"/>
          <w:numId w:val="1"/>
        </w:numPr>
        <w:pBdr>
          <w:top w:val="nil"/>
          <w:left w:val="nil"/>
          <w:bottom w:val="nil"/>
          <w:right w:val="nil"/>
          <w:between w:val="nil"/>
        </w:pBdr>
      </w:pPr>
      <w:r>
        <w:rPr>
          <w:b/>
          <w:bCs/>
        </w:rPr>
        <w:t>Phosphorus (\text{P}) and Sulfur (\text{S}):</w:t>
      </w:r>
      <w:r>
        <w:t xml:space="preserve"> Strictly limited to maximum thresholds of 0.01% to prevent micro-segregation, hot shortness, and reduced impact resistance.</w:t>
      </w:r>
    </w:p>
    <w:p w14:paraId="15589E0A" w14:textId="77777777" w:rsidR="00E41FF8" w:rsidRDefault="00000000">
      <w:pPr>
        <w:pBdr>
          <w:top w:val="nil"/>
          <w:left w:val="nil"/>
          <w:bottom w:val="nil"/>
          <w:right w:val="nil"/>
          <w:between w:val="nil"/>
        </w:pBdr>
      </w:pPr>
      <w:r>
        <w:t>For aluminum cylinder manufacturing (such as DOT-4E specifications), specialized corrosion-resistant aluminum alloys are utilized to deliver a lighter container while maintaining structural integrity under pressure.</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E41FF8" w14:paraId="3E26D4B1" w14:textId="77777777">
        <w:trPr>
          <w:tblHeader/>
        </w:trPr>
        <w:tc>
          <w:tcPr>
            <w:tcW w:w="1560" w:type="dxa"/>
            <w:tcMar>
              <w:top w:w="0" w:type="dxa"/>
              <w:left w:w="0" w:type="dxa"/>
              <w:bottom w:w="0" w:type="dxa"/>
              <w:right w:w="0" w:type="dxa"/>
            </w:tcMar>
          </w:tcPr>
          <w:p w14:paraId="03B3B4B0" w14:textId="77777777" w:rsidR="00E41FF8" w:rsidRDefault="00000000">
            <w:pPr>
              <w:pBdr>
                <w:top w:val="nil"/>
                <w:left w:val="nil"/>
                <w:bottom w:val="nil"/>
                <w:right w:val="nil"/>
                <w:between w:val="nil"/>
              </w:pBdr>
            </w:pPr>
            <w:r>
              <w:t>Specification Class</w:t>
            </w:r>
          </w:p>
        </w:tc>
        <w:tc>
          <w:tcPr>
            <w:tcW w:w="1560" w:type="dxa"/>
            <w:tcMar>
              <w:top w:w="0" w:type="dxa"/>
              <w:left w:w="0" w:type="dxa"/>
              <w:bottom w:w="0" w:type="dxa"/>
              <w:right w:w="0" w:type="dxa"/>
            </w:tcMar>
          </w:tcPr>
          <w:p w14:paraId="20276941" w14:textId="77777777" w:rsidR="00E41FF8" w:rsidRDefault="00000000">
            <w:pPr>
              <w:pBdr>
                <w:top w:val="nil"/>
                <w:left w:val="nil"/>
                <w:bottom w:val="nil"/>
                <w:right w:val="nil"/>
                <w:between w:val="nil"/>
              </w:pBdr>
            </w:pPr>
            <w:r>
              <w:t>Base Material Type</w:t>
            </w:r>
          </w:p>
        </w:tc>
        <w:tc>
          <w:tcPr>
            <w:tcW w:w="1560" w:type="dxa"/>
            <w:tcMar>
              <w:top w:w="0" w:type="dxa"/>
              <w:left w:w="0" w:type="dxa"/>
              <w:bottom w:w="0" w:type="dxa"/>
              <w:right w:w="0" w:type="dxa"/>
            </w:tcMar>
          </w:tcPr>
          <w:p w14:paraId="22FDA7A0" w14:textId="77777777" w:rsidR="00E41FF8" w:rsidRDefault="00000000">
            <w:pPr>
              <w:pBdr>
                <w:top w:val="nil"/>
                <w:left w:val="nil"/>
                <w:bottom w:val="nil"/>
                <w:right w:val="nil"/>
                <w:between w:val="nil"/>
              </w:pBdr>
            </w:pPr>
            <w:r>
              <w:t>Service Pressure Range (</w:t>
            </w:r>
            <w:proofErr w:type="spellStart"/>
            <w:r>
              <w:t>psig</w:t>
            </w:r>
            <w:proofErr w:type="spellEnd"/>
            <w:r>
              <w:t>)</w:t>
            </w:r>
          </w:p>
        </w:tc>
        <w:tc>
          <w:tcPr>
            <w:tcW w:w="1560" w:type="dxa"/>
            <w:tcMar>
              <w:top w:w="0" w:type="dxa"/>
              <w:left w:w="0" w:type="dxa"/>
              <w:bottom w:w="0" w:type="dxa"/>
              <w:right w:w="0" w:type="dxa"/>
            </w:tcMar>
          </w:tcPr>
          <w:p w14:paraId="781463C3" w14:textId="77777777" w:rsidR="00E41FF8" w:rsidRDefault="00000000">
            <w:pPr>
              <w:pBdr>
                <w:top w:val="nil"/>
                <w:left w:val="nil"/>
                <w:bottom w:val="nil"/>
                <w:right w:val="nil"/>
                <w:between w:val="nil"/>
              </w:pBdr>
            </w:pPr>
            <w:r>
              <w:t>Maximum Carbon Limit (%)</w:t>
            </w:r>
          </w:p>
        </w:tc>
        <w:tc>
          <w:tcPr>
            <w:tcW w:w="1560" w:type="dxa"/>
            <w:tcMar>
              <w:top w:w="0" w:type="dxa"/>
              <w:left w:w="0" w:type="dxa"/>
              <w:bottom w:w="0" w:type="dxa"/>
              <w:right w:w="0" w:type="dxa"/>
            </w:tcMar>
          </w:tcPr>
          <w:p w14:paraId="41442A59" w14:textId="77777777" w:rsidR="00E41FF8" w:rsidRDefault="00000000">
            <w:pPr>
              <w:pBdr>
                <w:top w:val="nil"/>
                <w:left w:val="nil"/>
                <w:bottom w:val="nil"/>
                <w:right w:val="nil"/>
                <w:between w:val="nil"/>
              </w:pBdr>
            </w:pPr>
            <w:r>
              <w:t>Minimum Elongation Baseline (%)</w:t>
            </w:r>
          </w:p>
        </w:tc>
        <w:tc>
          <w:tcPr>
            <w:tcW w:w="1560" w:type="dxa"/>
            <w:tcMar>
              <w:top w:w="0" w:type="dxa"/>
              <w:left w:w="0" w:type="dxa"/>
              <w:bottom w:w="0" w:type="dxa"/>
              <w:right w:w="0" w:type="dxa"/>
            </w:tcMar>
          </w:tcPr>
          <w:p w14:paraId="6F197192" w14:textId="77777777" w:rsidR="00E41FF8" w:rsidRDefault="00000000">
            <w:pPr>
              <w:pBdr>
                <w:top w:val="nil"/>
                <w:left w:val="nil"/>
                <w:bottom w:val="nil"/>
                <w:right w:val="nil"/>
                <w:between w:val="nil"/>
              </w:pBdr>
            </w:pPr>
            <w:r>
              <w:t>Primary Application</w:t>
            </w:r>
          </w:p>
        </w:tc>
      </w:tr>
      <w:tr w:rsidR="00E41FF8" w14:paraId="0E82C2B5" w14:textId="77777777">
        <w:tc>
          <w:tcPr>
            <w:tcW w:w="1560" w:type="dxa"/>
            <w:tcMar>
              <w:top w:w="0" w:type="dxa"/>
              <w:left w:w="0" w:type="dxa"/>
              <w:bottom w:w="0" w:type="dxa"/>
              <w:right w:w="0" w:type="dxa"/>
            </w:tcMar>
          </w:tcPr>
          <w:p w14:paraId="72BA5E71" w14:textId="77777777" w:rsidR="00E41FF8" w:rsidRDefault="00000000">
            <w:pPr>
              <w:pBdr>
                <w:top w:val="nil"/>
                <w:left w:val="nil"/>
                <w:bottom w:val="nil"/>
                <w:right w:val="nil"/>
                <w:between w:val="nil"/>
              </w:pBdr>
              <w:rPr>
                <w:b/>
                <w:bCs/>
              </w:rPr>
            </w:pPr>
            <w:r>
              <w:rPr>
                <w:b/>
                <w:bCs/>
              </w:rPr>
              <w:t>DOT-4B</w:t>
            </w:r>
          </w:p>
        </w:tc>
        <w:tc>
          <w:tcPr>
            <w:tcW w:w="1560" w:type="dxa"/>
            <w:tcMar>
              <w:top w:w="0" w:type="dxa"/>
              <w:left w:w="0" w:type="dxa"/>
              <w:bottom w:w="0" w:type="dxa"/>
              <w:right w:w="0" w:type="dxa"/>
            </w:tcMar>
          </w:tcPr>
          <w:p w14:paraId="72C61493" w14:textId="77777777" w:rsidR="00E41FF8" w:rsidRDefault="00000000">
            <w:pPr>
              <w:pBdr>
                <w:top w:val="nil"/>
                <w:left w:val="nil"/>
                <w:bottom w:val="nil"/>
                <w:right w:val="nil"/>
                <w:between w:val="nil"/>
              </w:pBdr>
            </w:pPr>
            <w:r>
              <w:t>Welded/Brazed Carbon Steel</w:t>
            </w:r>
          </w:p>
        </w:tc>
        <w:tc>
          <w:tcPr>
            <w:tcW w:w="1560" w:type="dxa"/>
            <w:tcMar>
              <w:top w:w="0" w:type="dxa"/>
              <w:left w:w="0" w:type="dxa"/>
              <w:bottom w:w="0" w:type="dxa"/>
              <w:right w:w="0" w:type="dxa"/>
            </w:tcMar>
          </w:tcPr>
          <w:p w14:paraId="3410519A" w14:textId="77777777" w:rsidR="00E41FF8" w:rsidRDefault="00000000">
            <w:pPr>
              <w:pBdr>
                <w:top w:val="nil"/>
                <w:left w:val="nil"/>
                <w:bottom w:val="nil"/>
                <w:right w:val="nil"/>
                <w:between w:val="nil"/>
              </w:pBdr>
            </w:pPr>
            <w:r>
              <w:t>225 – 500</w:t>
            </w:r>
          </w:p>
        </w:tc>
        <w:tc>
          <w:tcPr>
            <w:tcW w:w="1560" w:type="dxa"/>
            <w:tcMar>
              <w:top w:w="0" w:type="dxa"/>
              <w:left w:w="0" w:type="dxa"/>
              <w:bottom w:w="0" w:type="dxa"/>
              <w:right w:w="0" w:type="dxa"/>
            </w:tcMar>
          </w:tcPr>
          <w:p w14:paraId="711740B5" w14:textId="77777777" w:rsidR="00E41FF8" w:rsidRDefault="00000000">
            <w:pPr>
              <w:pBdr>
                <w:top w:val="nil"/>
                <w:left w:val="nil"/>
                <w:bottom w:val="nil"/>
                <w:right w:val="nil"/>
                <w:between w:val="nil"/>
              </w:pBdr>
            </w:pPr>
            <w:r>
              <w:t>\</w:t>
            </w:r>
            <w:proofErr w:type="gramStart"/>
            <w:r>
              <w:t>le</w:t>
            </w:r>
            <w:proofErr w:type="gramEnd"/>
            <w:r>
              <w:t xml:space="preserve"> 0.22</w:t>
            </w:r>
          </w:p>
        </w:tc>
        <w:tc>
          <w:tcPr>
            <w:tcW w:w="1560" w:type="dxa"/>
            <w:tcMar>
              <w:top w:w="0" w:type="dxa"/>
              <w:left w:w="0" w:type="dxa"/>
              <w:bottom w:w="0" w:type="dxa"/>
              <w:right w:w="0" w:type="dxa"/>
            </w:tcMar>
          </w:tcPr>
          <w:p w14:paraId="241A4FB3" w14:textId="77777777" w:rsidR="00E41FF8" w:rsidRDefault="00000000">
            <w:pPr>
              <w:pBdr>
                <w:top w:val="nil"/>
                <w:left w:val="nil"/>
                <w:bottom w:val="nil"/>
                <w:right w:val="nil"/>
                <w:between w:val="nil"/>
              </w:pBdr>
            </w:pPr>
            <w:r>
              <w:t>20 – 40</w:t>
            </w:r>
          </w:p>
        </w:tc>
        <w:tc>
          <w:tcPr>
            <w:tcW w:w="1560" w:type="dxa"/>
            <w:tcMar>
              <w:top w:w="0" w:type="dxa"/>
              <w:left w:w="0" w:type="dxa"/>
              <w:bottom w:w="0" w:type="dxa"/>
              <w:right w:w="0" w:type="dxa"/>
            </w:tcMar>
          </w:tcPr>
          <w:p w14:paraId="207047E4" w14:textId="77777777" w:rsidR="00E41FF8" w:rsidRDefault="00000000">
            <w:pPr>
              <w:pBdr>
                <w:top w:val="nil"/>
                <w:left w:val="nil"/>
                <w:bottom w:val="nil"/>
                <w:right w:val="nil"/>
                <w:between w:val="nil"/>
              </w:pBdr>
            </w:pPr>
            <w:r>
              <w:t>Low-pressure industrial &amp; domestic LPG</w:t>
            </w:r>
          </w:p>
        </w:tc>
      </w:tr>
      <w:tr w:rsidR="00E41FF8" w14:paraId="67ABFF9B" w14:textId="77777777">
        <w:tc>
          <w:tcPr>
            <w:tcW w:w="1560" w:type="dxa"/>
            <w:tcMar>
              <w:top w:w="0" w:type="dxa"/>
              <w:left w:w="0" w:type="dxa"/>
              <w:bottom w:w="0" w:type="dxa"/>
              <w:right w:w="0" w:type="dxa"/>
            </w:tcMar>
          </w:tcPr>
          <w:p w14:paraId="49745B2B" w14:textId="77777777" w:rsidR="00E41FF8" w:rsidRDefault="00000000">
            <w:pPr>
              <w:pBdr>
                <w:top w:val="nil"/>
                <w:left w:val="nil"/>
                <w:bottom w:val="nil"/>
                <w:right w:val="nil"/>
                <w:between w:val="nil"/>
              </w:pBdr>
              <w:rPr>
                <w:b/>
                <w:bCs/>
              </w:rPr>
            </w:pPr>
            <w:r>
              <w:rPr>
                <w:b/>
                <w:bCs/>
              </w:rPr>
              <w:t>DOT-4BA</w:t>
            </w:r>
          </w:p>
        </w:tc>
        <w:tc>
          <w:tcPr>
            <w:tcW w:w="1560" w:type="dxa"/>
            <w:tcMar>
              <w:top w:w="0" w:type="dxa"/>
              <w:left w:w="0" w:type="dxa"/>
              <w:bottom w:w="0" w:type="dxa"/>
              <w:right w:w="0" w:type="dxa"/>
            </w:tcMar>
          </w:tcPr>
          <w:p w14:paraId="0FDA4A0E" w14:textId="77777777" w:rsidR="00E41FF8" w:rsidRDefault="00000000">
            <w:pPr>
              <w:pBdr>
                <w:top w:val="nil"/>
                <w:left w:val="nil"/>
                <w:bottom w:val="nil"/>
                <w:right w:val="nil"/>
                <w:between w:val="nil"/>
              </w:pBdr>
            </w:pPr>
            <w:r>
              <w:t>High-Strength Micro-Alloyed Steel</w:t>
            </w:r>
          </w:p>
        </w:tc>
        <w:tc>
          <w:tcPr>
            <w:tcW w:w="1560" w:type="dxa"/>
            <w:tcMar>
              <w:top w:w="0" w:type="dxa"/>
              <w:left w:w="0" w:type="dxa"/>
              <w:bottom w:w="0" w:type="dxa"/>
              <w:right w:w="0" w:type="dxa"/>
            </w:tcMar>
          </w:tcPr>
          <w:p w14:paraId="4457AEDD" w14:textId="77777777" w:rsidR="00E41FF8" w:rsidRDefault="00000000">
            <w:pPr>
              <w:pBdr>
                <w:top w:val="nil"/>
                <w:left w:val="nil"/>
                <w:bottom w:val="nil"/>
                <w:right w:val="nil"/>
                <w:between w:val="nil"/>
              </w:pBdr>
            </w:pPr>
            <w:r>
              <w:t>225 – 500</w:t>
            </w:r>
          </w:p>
        </w:tc>
        <w:tc>
          <w:tcPr>
            <w:tcW w:w="1560" w:type="dxa"/>
            <w:tcMar>
              <w:top w:w="0" w:type="dxa"/>
              <w:left w:w="0" w:type="dxa"/>
              <w:bottom w:w="0" w:type="dxa"/>
              <w:right w:w="0" w:type="dxa"/>
            </w:tcMar>
          </w:tcPr>
          <w:p w14:paraId="72DC1B77" w14:textId="77777777" w:rsidR="00E41FF8" w:rsidRDefault="00000000">
            <w:pPr>
              <w:pBdr>
                <w:top w:val="nil"/>
                <w:left w:val="nil"/>
                <w:bottom w:val="nil"/>
                <w:right w:val="nil"/>
                <w:between w:val="nil"/>
              </w:pBdr>
            </w:pPr>
            <w:r>
              <w:t>\[span_</w:t>
            </w:r>
            <w:proofErr w:type="gramStart"/>
            <w:r>
              <w:t>28](</w:t>
            </w:r>
            <w:proofErr w:type="gramEnd"/>
            <w:r>
              <w:t>start_</w:t>
            </w:r>
            <w:proofErr w:type="gramStart"/>
            <w:r>
              <w:t>span)[</w:t>
            </w:r>
            <w:proofErr w:type="gramEnd"/>
            <w:r>
              <w:t>span_</w:t>
            </w:r>
            <w:proofErr w:type="gramStart"/>
            <w:r>
              <w:t>28](</w:t>
            </w:r>
            <w:proofErr w:type="gramEnd"/>
            <w:r>
              <w:t>end_</w:t>
            </w:r>
            <w:proofErr w:type="gramStart"/>
            <w:r>
              <w:t>span)[</w:t>
            </w:r>
            <w:proofErr w:type="gramEnd"/>
            <w:r>
              <w:t>span_</w:t>
            </w:r>
            <w:proofErr w:type="gramStart"/>
            <w:r>
              <w:t>34](</w:t>
            </w:r>
            <w:proofErr w:type="gramEnd"/>
            <w:r>
              <w:t>start_</w:t>
            </w:r>
            <w:proofErr w:type="gramStart"/>
            <w:r>
              <w:t>span)[</w:t>
            </w:r>
            <w:proofErr w:type="gramEnd"/>
            <w:r>
              <w:t>span_</w:t>
            </w:r>
            <w:proofErr w:type="gramStart"/>
            <w:r>
              <w:t>34](</w:t>
            </w:r>
            <w:proofErr w:type="gramEnd"/>
            <w:r>
              <w:t>end_</w:t>
            </w:r>
            <w:proofErr w:type="gramStart"/>
            <w:r>
              <w:t>span)le</w:t>
            </w:r>
            <w:proofErr w:type="gramEnd"/>
            <w:r>
              <w:t xml:space="preserve"> 0.20</w:t>
            </w:r>
          </w:p>
        </w:tc>
        <w:tc>
          <w:tcPr>
            <w:tcW w:w="1560" w:type="dxa"/>
            <w:tcMar>
              <w:top w:w="0" w:type="dxa"/>
              <w:left w:w="0" w:type="dxa"/>
              <w:bottom w:w="0" w:type="dxa"/>
              <w:right w:w="0" w:type="dxa"/>
            </w:tcMar>
          </w:tcPr>
          <w:p w14:paraId="01169381" w14:textId="77777777" w:rsidR="00E41FF8" w:rsidRDefault="00000000">
            <w:pPr>
              <w:pBdr>
                <w:top w:val="nil"/>
                <w:left w:val="nil"/>
                <w:bottom w:val="nil"/>
                <w:right w:val="nil"/>
                <w:between w:val="nil"/>
              </w:pBdr>
            </w:pPr>
            <w:r>
              <w:t>20 – 40</w:t>
            </w:r>
          </w:p>
        </w:tc>
        <w:tc>
          <w:tcPr>
            <w:tcW w:w="1560" w:type="dxa"/>
            <w:tcMar>
              <w:top w:w="0" w:type="dxa"/>
              <w:left w:w="0" w:type="dxa"/>
              <w:bottom w:w="0" w:type="dxa"/>
              <w:right w:w="0" w:type="dxa"/>
            </w:tcMar>
          </w:tcPr>
          <w:p w14:paraId="5A25654C" w14:textId="77777777" w:rsidR="00E41FF8" w:rsidRDefault="00000000">
            <w:pPr>
              <w:pBdr>
                <w:top w:val="nil"/>
                <w:left w:val="nil"/>
                <w:bottom w:val="nil"/>
                <w:right w:val="nil"/>
                <w:between w:val="nil"/>
              </w:pBdr>
            </w:pPr>
            <w:r>
              <w:t>Portable commercial propane containers</w:t>
            </w:r>
          </w:p>
        </w:tc>
      </w:tr>
      <w:tr w:rsidR="00E41FF8" w14:paraId="376BCB29" w14:textId="77777777">
        <w:tc>
          <w:tcPr>
            <w:tcW w:w="1560" w:type="dxa"/>
            <w:tcMar>
              <w:top w:w="0" w:type="dxa"/>
              <w:left w:w="0" w:type="dxa"/>
              <w:bottom w:w="0" w:type="dxa"/>
              <w:right w:w="0" w:type="dxa"/>
            </w:tcMar>
          </w:tcPr>
          <w:p w14:paraId="4C79D14C" w14:textId="77777777" w:rsidR="00E41FF8" w:rsidRDefault="00000000">
            <w:pPr>
              <w:pBdr>
                <w:top w:val="nil"/>
                <w:left w:val="nil"/>
                <w:bottom w:val="nil"/>
                <w:right w:val="nil"/>
                <w:between w:val="nil"/>
              </w:pBdr>
              <w:rPr>
                <w:b/>
                <w:bCs/>
              </w:rPr>
            </w:pPr>
            <w:r>
              <w:rPr>
                <w:b/>
                <w:bCs/>
              </w:rPr>
              <w:t>DOT-4BW</w:t>
            </w:r>
          </w:p>
        </w:tc>
        <w:tc>
          <w:tcPr>
            <w:tcW w:w="1560" w:type="dxa"/>
            <w:tcMar>
              <w:top w:w="0" w:type="dxa"/>
              <w:left w:w="0" w:type="dxa"/>
              <w:bottom w:w="0" w:type="dxa"/>
              <w:right w:w="0" w:type="dxa"/>
            </w:tcMar>
          </w:tcPr>
          <w:p w14:paraId="785F3157" w14:textId="77777777" w:rsidR="00E41FF8" w:rsidRDefault="00000000">
            <w:pPr>
              <w:pBdr>
                <w:top w:val="nil"/>
                <w:left w:val="nil"/>
                <w:bottom w:val="nil"/>
                <w:right w:val="nil"/>
                <w:between w:val="nil"/>
              </w:pBdr>
            </w:pPr>
            <w:r>
              <w:t>Electric-Arc Welded Steel</w:t>
            </w:r>
          </w:p>
        </w:tc>
        <w:tc>
          <w:tcPr>
            <w:tcW w:w="1560" w:type="dxa"/>
            <w:tcMar>
              <w:top w:w="0" w:type="dxa"/>
              <w:left w:w="0" w:type="dxa"/>
              <w:bottom w:w="0" w:type="dxa"/>
              <w:right w:w="0" w:type="dxa"/>
            </w:tcMar>
          </w:tcPr>
          <w:p w14:paraId="76F4C38C" w14:textId="77777777" w:rsidR="00E41FF8" w:rsidRDefault="00000000">
            <w:pPr>
              <w:pBdr>
                <w:top w:val="nil"/>
                <w:left w:val="nil"/>
                <w:bottom w:val="nil"/>
                <w:right w:val="nil"/>
                <w:between w:val="nil"/>
              </w:pBdr>
            </w:pPr>
            <w:r>
              <w:t>225 – 500</w:t>
            </w:r>
          </w:p>
        </w:tc>
        <w:tc>
          <w:tcPr>
            <w:tcW w:w="1560" w:type="dxa"/>
            <w:tcMar>
              <w:top w:w="0" w:type="dxa"/>
              <w:left w:w="0" w:type="dxa"/>
              <w:bottom w:w="0" w:type="dxa"/>
              <w:right w:w="0" w:type="dxa"/>
            </w:tcMar>
          </w:tcPr>
          <w:p w14:paraId="26FED642" w14:textId="77777777" w:rsidR="00E41FF8" w:rsidRDefault="00000000">
            <w:pPr>
              <w:pBdr>
                <w:top w:val="nil"/>
                <w:left w:val="nil"/>
                <w:bottom w:val="nil"/>
                <w:right w:val="nil"/>
                <w:between w:val="nil"/>
              </w:pBdr>
            </w:pPr>
            <w:r>
              <w:t>\</w:t>
            </w:r>
            <w:proofErr w:type="gramStart"/>
            <w:r>
              <w:t>le</w:t>
            </w:r>
            <w:proofErr w:type="gramEnd"/>
            <w:r>
              <w:t xml:space="preserve"> 0.18</w:t>
            </w:r>
          </w:p>
        </w:tc>
        <w:tc>
          <w:tcPr>
            <w:tcW w:w="1560" w:type="dxa"/>
            <w:tcMar>
              <w:top w:w="0" w:type="dxa"/>
              <w:left w:w="0" w:type="dxa"/>
              <w:bottom w:w="0" w:type="dxa"/>
              <w:right w:w="0" w:type="dxa"/>
            </w:tcMar>
          </w:tcPr>
          <w:p w14:paraId="196E7A52" w14:textId="77777777" w:rsidR="00E41FF8" w:rsidRDefault="00000000">
            <w:pPr>
              <w:pBdr>
                <w:top w:val="nil"/>
                <w:left w:val="nil"/>
                <w:bottom w:val="nil"/>
                <w:right w:val="nil"/>
                <w:between w:val="nil"/>
              </w:pBdr>
            </w:pPr>
            <w:r>
              <w:t>20 – 40</w:t>
            </w:r>
          </w:p>
        </w:tc>
        <w:tc>
          <w:tcPr>
            <w:tcW w:w="1560" w:type="dxa"/>
            <w:tcMar>
              <w:top w:w="0" w:type="dxa"/>
              <w:left w:w="0" w:type="dxa"/>
              <w:bottom w:w="0" w:type="dxa"/>
              <w:right w:w="0" w:type="dxa"/>
            </w:tcMar>
          </w:tcPr>
          <w:p w14:paraId="3E57552F" w14:textId="77777777" w:rsidR="00E41FF8" w:rsidRDefault="00000000">
            <w:pPr>
              <w:pBdr>
                <w:top w:val="nil"/>
                <w:left w:val="nil"/>
                <w:bottom w:val="nil"/>
                <w:right w:val="nil"/>
                <w:between w:val="nil"/>
              </w:pBdr>
            </w:pPr>
            <w:r>
              <w:t>High-volume distribution cylinders</w:t>
            </w:r>
          </w:p>
        </w:tc>
      </w:tr>
      <w:tr w:rsidR="00E41FF8" w14:paraId="1D23E839" w14:textId="77777777">
        <w:tc>
          <w:tcPr>
            <w:tcW w:w="1560" w:type="dxa"/>
            <w:tcMar>
              <w:top w:w="0" w:type="dxa"/>
              <w:left w:w="0" w:type="dxa"/>
              <w:bottom w:w="0" w:type="dxa"/>
              <w:right w:w="0" w:type="dxa"/>
            </w:tcMar>
          </w:tcPr>
          <w:p w14:paraId="3D5DAAA1" w14:textId="77777777" w:rsidR="00E41FF8" w:rsidRDefault="00000000">
            <w:pPr>
              <w:pBdr>
                <w:top w:val="nil"/>
                <w:left w:val="nil"/>
                <w:bottom w:val="nil"/>
                <w:right w:val="nil"/>
                <w:between w:val="nil"/>
              </w:pBdr>
              <w:rPr>
                <w:b/>
                <w:bCs/>
              </w:rPr>
            </w:pPr>
            <w:r>
              <w:rPr>
                <w:b/>
                <w:bCs/>
              </w:rPr>
              <w:t>DOT-4E</w:t>
            </w:r>
          </w:p>
        </w:tc>
        <w:tc>
          <w:tcPr>
            <w:tcW w:w="1560" w:type="dxa"/>
            <w:tcMar>
              <w:top w:w="0" w:type="dxa"/>
              <w:left w:w="0" w:type="dxa"/>
              <w:bottom w:w="0" w:type="dxa"/>
              <w:right w:w="0" w:type="dxa"/>
            </w:tcMar>
          </w:tcPr>
          <w:p w14:paraId="4D67A7F2" w14:textId="77777777" w:rsidR="00E41FF8" w:rsidRDefault="00000000">
            <w:pPr>
              <w:pBdr>
                <w:top w:val="nil"/>
                <w:left w:val="nil"/>
                <w:bottom w:val="nil"/>
                <w:right w:val="nil"/>
                <w:between w:val="nil"/>
              </w:pBdr>
            </w:pPr>
            <w:r>
              <w:t>Heat-Treated Aluminum Alloy</w:t>
            </w:r>
          </w:p>
        </w:tc>
        <w:tc>
          <w:tcPr>
            <w:tcW w:w="1560" w:type="dxa"/>
            <w:tcMar>
              <w:top w:w="0" w:type="dxa"/>
              <w:left w:w="0" w:type="dxa"/>
              <w:bottom w:w="0" w:type="dxa"/>
              <w:right w:w="0" w:type="dxa"/>
            </w:tcMar>
          </w:tcPr>
          <w:p w14:paraId="1CA2D75E" w14:textId="77777777" w:rsidR="00E41FF8" w:rsidRDefault="00000000">
            <w:pPr>
              <w:pBdr>
                <w:top w:val="nil"/>
                <w:left w:val="nil"/>
                <w:bottom w:val="nil"/>
                <w:right w:val="nil"/>
                <w:between w:val="nil"/>
              </w:pBdr>
            </w:pPr>
            <w:r>
              <w:t>225 – 500</w:t>
            </w:r>
          </w:p>
        </w:tc>
        <w:tc>
          <w:tcPr>
            <w:tcW w:w="1560" w:type="dxa"/>
            <w:tcMar>
              <w:top w:w="0" w:type="dxa"/>
              <w:left w:w="0" w:type="dxa"/>
              <w:bottom w:w="0" w:type="dxa"/>
              <w:right w:w="0" w:type="dxa"/>
            </w:tcMar>
          </w:tcPr>
          <w:p w14:paraId="2E2CEC91" w14:textId="77777777" w:rsidR="00E41FF8" w:rsidRDefault="00000000">
            <w:pPr>
              <w:pBdr>
                <w:top w:val="nil"/>
                <w:left w:val="nil"/>
                <w:bottom w:val="nil"/>
                <w:right w:val="nil"/>
                <w:between w:val="nil"/>
              </w:pBdr>
            </w:pPr>
            <w:r>
              <w:t>N/A (Aluminum)</w:t>
            </w:r>
          </w:p>
        </w:tc>
        <w:tc>
          <w:tcPr>
            <w:tcW w:w="1560" w:type="dxa"/>
            <w:tcMar>
              <w:top w:w="0" w:type="dxa"/>
              <w:left w:w="0" w:type="dxa"/>
              <w:bottom w:w="0" w:type="dxa"/>
              <w:right w:w="0" w:type="dxa"/>
            </w:tcMar>
          </w:tcPr>
          <w:p w14:paraId="0C7C5217" w14:textId="77777777" w:rsidR="00E41FF8" w:rsidRDefault="00000000">
            <w:pPr>
              <w:pBdr>
                <w:top w:val="nil"/>
                <w:left w:val="nil"/>
                <w:bottom w:val="nil"/>
                <w:right w:val="nil"/>
                <w:between w:val="nil"/>
              </w:pBdr>
            </w:pPr>
            <w:r>
              <w:t>Varies</w:t>
            </w:r>
          </w:p>
        </w:tc>
        <w:tc>
          <w:tcPr>
            <w:tcW w:w="1560" w:type="dxa"/>
            <w:tcMar>
              <w:top w:w="0" w:type="dxa"/>
              <w:left w:w="0" w:type="dxa"/>
              <w:bottom w:w="0" w:type="dxa"/>
              <w:right w:w="0" w:type="dxa"/>
            </w:tcMar>
          </w:tcPr>
          <w:p w14:paraId="186606E9" w14:textId="77777777" w:rsidR="00E41FF8" w:rsidRDefault="00000000">
            <w:pPr>
              <w:pBdr>
                <w:top w:val="nil"/>
                <w:left w:val="nil"/>
                <w:bottom w:val="nil"/>
                <w:right w:val="nil"/>
                <w:between w:val="nil"/>
              </w:pBdr>
            </w:pPr>
            <w:r>
              <w:t>Lightweight portable applications</w:t>
            </w:r>
          </w:p>
        </w:tc>
      </w:tr>
    </w:tbl>
    <w:p w14:paraId="05908271" w14:textId="77777777" w:rsidR="00E41FF8" w:rsidRDefault="00000000">
      <w:pPr>
        <w:pBdr>
          <w:top w:val="nil"/>
          <w:left w:val="nil"/>
          <w:bottom w:val="nil"/>
          <w:right w:val="nil"/>
          <w:between w:val="nil"/>
        </w:pBdr>
      </w:pPr>
      <w:r>
        <w:t>## Structural Geometry, Design Mechanics, and Stress Calculations</w:t>
      </w:r>
    </w:p>
    <w:p w14:paraId="13E8D137" w14:textId="77777777" w:rsidR="00E41FF8" w:rsidRDefault="00000000">
      <w:pPr>
        <w:pBdr>
          <w:top w:val="nil"/>
          <w:left w:val="nil"/>
          <w:bottom w:val="nil"/>
          <w:right w:val="nil"/>
          <w:between w:val="nil"/>
        </w:pBdr>
      </w:pPr>
      <w:r>
        <w:t>LPG cylinders are primarily built using either two-piece construction (consisting of two deep-drawn hemispherical or ellipsoidal heads joined by a single circumferential weld) or three-piece construction (comprising a cylindrical rolled shell attached to two stamped end closures). Cylinder heads must be concave to pressure and drawn into ellipsoidal or hemispherical profiles with a maximum major-to-minor axis ratio of 2:1.</w:t>
      </w:r>
    </w:p>
    <w:p w14:paraId="65AEEC3E" w14:textId="77777777" w:rsidR="00E41FF8" w:rsidRDefault="00000000">
      <w:pPr>
        <w:pBdr>
          <w:top w:val="nil"/>
          <w:left w:val="nil"/>
          <w:bottom w:val="nil"/>
          <w:right w:val="nil"/>
          <w:between w:val="nil"/>
        </w:pBdr>
      </w:pPr>
      <w:r>
        <w:t>Calculations for wall thickness are structured to limit stress under hydrostatic pressure. According to US DOT Specification 4BW, wall thickness must be selected so that wall stress during proof testing remains within prescribed safety limits. The fundamental thin-walled pressure vessel stress relationship applied to cylindrical shells is expressed as:</w:t>
      </w:r>
    </w:p>
    <w:p w14:paraId="02A9E862" w14:textId="77777777" w:rsidR="00E41FF8" w:rsidRDefault="00000000">
      <w:pPr>
        <w:pBdr>
          <w:top w:val="nil"/>
          <w:left w:val="nil"/>
          <w:bottom w:val="nil"/>
          <w:right w:val="nil"/>
          <w:between w:val="nil"/>
        </w:pBdr>
      </w:pPr>
      <w:r>
        <w:t>S = \</w:t>
      </w:r>
      <w:proofErr w:type="gramStart"/>
      <w:r>
        <w:t>frac{</w:t>
      </w:r>
      <w:proofErr w:type="gramEnd"/>
      <w:r>
        <w:t>P (D^2 + d^2</w:t>
      </w:r>
      <w:proofErr w:type="gramStart"/>
      <w:r>
        <w:t>)}{</w:t>
      </w:r>
      <w:proofErr w:type="gramEnd"/>
      <w:r>
        <w:t>D^2 - d^2}</w:t>
      </w:r>
    </w:p>
    <w:p w14:paraId="4B44B39E" w14:textId="77777777" w:rsidR="00E41FF8" w:rsidRDefault="00000000">
      <w:pPr>
        <w:pBdr>
          <w:top w:val="nil"/>
          <w:left w:val="nil"/>
          <w:bottom w:val="nil"/>
          <w:right w:val="nil"/>
          <w:between w:val="nil"/>
        </w:pBdr>
      </w:pPr>
      <w:r>
        <w:lastRenderedPageBreak/>
        <w:t>Where:</w:t>
      </w:r>
    </w:p>
    <w:p w14:paraId="25ABA133" w14:textId="77777777" w:rsidR="00E41FF8" w:rsidRDefault="00000000">
      <w:pPr>
        <w:numPr>
          <w:ilvl w:val="0"/>
          <w:numId w:val="2"/>
        </w:numPr>
        <w:pBdr>
          <w:top w:val="nil"/>
          <w:left w:val="nil"/>
          <w:bottom w:val="nil"/>
          <w:right w:val="nil"/>
          <w:between w:val="nil"/>
        </w:pBdr>
      </w:pPr>
      <w:r>
        <w:t>S = Calculated wall stress in pounds per square inch (psi)</w:t>
      </w:r>
    </w:p>
    <w:p w14:paraId="4453E21E" w14:textId="77777777" w:rsidR="00E41FF8" w:rsidRDefault="00000000">
      <w:pPr>
        <w:numPr>
          <w:ilvl w:val="0"/>
          <w:numId w:val="2"/>
        </w:numPr>
        <w:pBdr>
          <w:top w:val="nil"/>
          <w:left w:val="nil"/>
          <w:bottom w:val="nil"/>
          <w:right w:val="nil"/>
          <w:between w:val="nil"/>
        </w:pBdr>
      </w:pPr>
      <w:r>
        <w:t>P = Hydrostatic test pressure in pounds per square inch gauge (</w:t>
      </w:r>
      <w:proofErr w:type="spellStart"/>
      <w:r>
        <w:t>psig</w:t>
      </w:r>
      <w:proofErr w:type="spellEnd"/>
      <w:r>
        <w:t>)</w:t>
      </w:r>
    </w:p>
    <w:p w14:paraId="61166267" w14:textId="77777777" w:rsidR="00E41FF8" w:rsidRDefault="00000000">
      <w:pPr>
        <w:numPr>
          <w:ilvl w:val="0"/>
          <w:numId w:val="2"/>
        </w:numPr>
        <w:pBdr>
          <w:top w:val="nil"/>
          <w:left w:val="nil"/>
          <w:bottom w:val="nil"/>
          <w:right w:val="nil"/>
          <w:between w:val="nil"/>
        </w:pBdr>
      </w:pPr>
      <w:r>
        <w:t>D = Outside diameter of the cylinder shell in inches</w:t>
      </w:r>
    </w:p>
    <w:p w14:paraId="32C9EA87" w14:textId="77777777" w:rsidR="00E41FF8" w:rsidRDefault="00000000">
      <w:pPr>
        <w:numPr>
          <w:ilvl w:val="0"/>
          <w:numId w:val="2"/>
        </w:numPr>
        <w:pBdr>
          <w:top w:val="nil"/>
          <w:left w:val="nil"/>
          <w:bottom w:val="nil"/>
          <w:right w:val="nil"/>
          <w:between w:val="nil"/>
        </w:pBdr>
      </w:pPr>
      <w:r>
        <w:t>d = Inside diameter of the cylinder shell in inches</w:t>
      </w:r>
    </w:p>
    <w:p w14:paraId="0737001C" w14:textId="77777777" w:rsidR="00E41FF8" w:rsidRDefault="00000000">
      <w:pPr>
        <w:pBdr>
          <w:top w:val="nil"/>
          <w:left w:val="nil"/>
          <w:bottom w:val="nil"/>
          <w:right w:val="nil"/>
          <w:between w:val="nil"/>
        </w:pBdr>
      </w:pPr>
      <w:r>
        <w:t>In practical design workflows, modified formulations incorporate joint efficiency factors:</w:t>
      </w:r>
    </w:p>
    <w:p w14:paraId="640BD516" w14:textId="77777777" w:rsidR="00E41FF8" w:rsidRDefault="00000000">
      <w:pPr>
        <w:pBdr>
          <w:top w:val="nil"/>
          <w:left w:val="nil"/>
          <w:bottom w:val="nil"/>
          <w:right w:val="nil"/>
          <w:between w:val="nil"/>
        </w:pBdr>
      </w:pPr>
      <w:r>
        <w:t>t = \</w:t>
      </w:r>
      <w:proofErr w:type="gramStart"/>
      <w:r>
        <w:t>frac{</w:t>
      </w:r>
      <w:proofErr w:type="gramEnd"/>
      <w:r>
        <w:t>P \</w:t>
      </w:r>
      <w:proofErr w:type="spellStart"/>
      <w:r>
        <w:t>cdot</w:t>
      </w:r>
      <w:proofErr w:type="spellEnd"/>
      <w:r>
        <w:t xml:space="preserve"> </w:t>
      </w:r>
      <w:proofErr w:type="gramStart"/>
      <w:r>
        <w:t>D}{</w:t>
      </w:r>
      <w:proofErr w:type="gramEnd"/>
      <w:r>
        <w:t>2S \</w:t>
      </w:r>
      <w:proofErr w:type="spellStart"/>
      <w:r>
        <w:t>cdot</w:t>
      </w:r>
      <w:proofErr w:type="spellEnd"/>
      <w:r>
        <w:t xml:space="preserve"> E + 0.8P}</w:t>
      </w:r>
    </w:p>
    <w:p w14:paraId="34FA9F8F" w14:textId="77777777" w:rsidR="00E41FF8" w:rsidRDefault="00000000">
      <w:pPr>
        <w:pBdr>
          <w:top w:val="nil"/>
          <w:left w:val="nil"/>
          <w:bottom w:val="nil"/>
          <w:right w:val="nil"/>
          <w:between w:val="nil"/>
        </w:pBdr>
      </w:pPr>
      <w:r>
        <w:t>Where:</w:t>
      </w:r>
    </w:p>
    <w:p w14:paraId="0DC80060" w14:textId="77777777" w:rsidR="00E41FF8" w:rsidRDefault="00000000">
      <w:pPr>
        <w:numPr>
          <w:ilvl w:val="0"/>
          <w:numId w:val="3"/>
        </w:numPr>
        <w:pBdr>
          <w:top w:val="nil"/>
          <w:left w:val="nil"/>
          <w:bottom w:val="nil"/>
          <w:right w:val="nil"/>
          <w:between w:val="nil"/>
        </w:pBdr>
      </w:pPr>
      <w:r>
        <w:t>t = Minimum required wall thickness in inches</w:t>
      </w:r>
    </w:p>
    <w:p w14:paraId="4CC32B08" w14:textId="77777777" w:rsidR="00E41FF8" w:rsidRDefault="00000000">
      <w:pPr>
        <w:numPr>
          <w:ilvl w:val="0"/>
          <w:numId w:val="3"/>
        </w:numPr>
        <w:pBdr>
          <w:top w:val="nil"/>
          <w:left w:val="nil"/>
          <w:bottom w:val="nil"/>
          <w:right w:val="nil"/>
          <w:between w:val="nil"/>
        </w:pBdr>
      </w:pPr>
      <w:r>
        <w:t>E = Joint efficiency factor (1.0 for fully inspected automatic electric-arc welds)</w:t>
      </w:r>
    </w:p>
    <w:p w14:paraId="7656A8AC" w14:textId="77777777" w:rsidR="00E41FF8" w:rsidRDefault="00000000">
      <w:pPr>
        <w:pBdr>
          <w:top w:val="nil"/>
          <w:left w:val="nil"/>
          <w:bottom w:val="nil"/>
          <w:right w:val="nil"/>
          <w:between w:val="nil"/>
        </w:pBdr>
        <w:spacing w:after="225"/>
      </w:pPr>
      <w:r>
        <w:t>For low-carbon steel heads, regulations specify that wall stress under maximum hydrostatic test pressure must not exceed 24,000 psi. Additionally, after cold forming, the minimum wall thickness at any point on deep-drawn heads must not drop below 90% of the required minimum sidewall thickness.</w:t>
      </w:r>
    </w:p>
    <w:p w14:paraId="7591B55C" w14:textId="77777777" w:rsidR="00E41FF8" w:rsidRDefault="00000000">
      <w:pPr>
        <w:pStyle w:val="Heading2"/>
        <w:spacing w:before="0"/>
      </w:pPr>
      <w:r>
        <w:t>Manufacturing Progression and Joining Technologies</w:t>
      </w:r>
    </w:p>
    <w:p w14:paraId="71E77365" w14:textId="77777777" w:rsidR="00E41FF8" w:rsidRDefault="00000000">
      <w:pPr>
        <w:pBdr>
          <w:top w:val="nil"/>
          <w:left w:val="nil"/>
          <w:bottom w:val="nil"/>
          <w:right w:val="nil"/>
          <w:between w:val="nil"/>
        </w:pBdr>
      </w:pPr>
      <w:r>
        <w:t>The transformation of raw steel coils into a stress-relieved, fully tested LPG pressure receptacle follows a precise sequence of mechanical forming, joining, and thermal processing operations.</w:t>
      </w:r>
    </w:p>
    <w:p w14:paraId="5742D5F6" w14:textId="77777777" w:rsidR="00E41FF8" w:rsidRDefault="00000000">
      <w:pPr>
        <w:numPr>
          <w:ilvl w:val="0"/>
          <w:numId w:val="4"/>
        </w:numPr>
        <w:pBdr>
          <w:top w:val="nil"/>
          <w:left w:val="nil"/>
          <w:bottom w:val="nil"/>
          <w:right w:val="nil"/>
          <w:between w:val="nil"/>
        </w:pBdr>
      </w:pPr>
      <w:r>
        <w:rPr>
          <w:b/>
          <w:bCs/>
        </w:rPr>
        <w:t>Uncoiling, Blanking, and Stamping:</w:t>
      </w:r>
      <w:r>
        <w:t xml:space="preserve"> Flat hot-rolled steel coils are uncoiled, leveled, and blanked into high-precision circular blanks.</w:t>
      </w:r>
    </w:p>
    <w:p w14:paraId="3A172A57" w14:textId="77777777" w:rsidR="00E41FF8" w:rsidRDefault="00000000">
      <w:pPr>
        <w:numPr>
          <w:ilvl w:val="0"/>
          <w:numId w:val="4"/>
        </w:numPr>
        <w:pBdr>
          <w:top w:val="nil"/>
          <w:left w:val="nil"/>
          <w:bottom w:val="nil"/>
          <w:right w:val="nil"/>
          <w:between w:val="nil"/>
        </w:pBdr>
      </w:pPr>
      <w:r>
        <w:rPr>
          <w:b/>
          <w:bCs/>
        </w:rPr>
        <w:t>Deep Drawing and Trimming:</w:t>
      </w:r>
      <w:r>
        <w:t xml:space="preserve"> Hydraulic deep-drawing presses form the circular blanks into deep cup-shaped halves. Lubrication prevents surface defects and micro-fissuring during drawing. Mating edges are trimmed mechanically to ensure uniform alignment for subsequent welding.</w:t>
      </w:r>
    </w:p>
    <w:p w14:paraId="25C01BA1" w14:textId="77777777" w:rsidR="00E41FF8" w:rsidRDefault="00000000">
      <w:pPr>
        <w:numPr>
          <w:ilvl w:val="0"/>
          <w:numId w:val="4"/>
        </w:numPr>
        <w:pBdr>
          <w:top w:val="nil"/>
          <w:left w:val="nil"/>
          <w:bottom w:val="nil"/>
          <w:right w:val="nil"/>
          <w:between w:val="nil"/>
        </w:pBdr>
      </w:pPr>
      <w:proofErr w:type="spellStart"/>
      <w:r>
        <w:rPr>
          <w:b/>
          <w:bCs/>
        </w:rPr>
        <w:t>Neckring</w:t>
      </w:r>
      <w:proofErr w:type="spellEnd"/>
      <w:r>
        <w:rPr>
          <w:b/>
          <w:bCs/>
        </w:rPr>
        <w:t xml:space="preserve"> Attachment:</w:t>
      </w:r>
      <w:r>
        <w:t xml:space="preserve"> The top head is pierced, and a heavy-duty threaded </w:t>
      </w:r>
      <w:proofErr w:type="spellStart"/>
      <w:r>
        <w:t>neckring</w:t>
      </w:r>
      <w:proofErr w:type="spellEnd"/>
      <w:r>
        <w:t xml:space="preserve"> (boss) is attached using automated fusion welding to create the valve connection point.</w:t>
      </w:r>
    </w:p>
    <w:p w14:paraId="55F0C907" w14:textId="77777777" w:rsidR="00E41FF8" w:rsidRDefault="00000000">
      <w:pPr>
        <w:numPr>
          <w:ilvl w:val="0"/>
          <w:numId w:val="4"/>
        </w:numPr>
        <w:pBdr>
          <w:top w:val="nil"/>
          <w:left w:val="nil"/>
          <w:bottom w:val="nil"/>
          <w:right w:val="nil"/>
          <w:between w:val="nil"/>
        </w:pBdr>
      </w:pPr>
      <w:r>
        <w:rPr>
          <w:b/>
          <w:bCs/>
        </w:rPr>
        <w:t>Shell Assembly and Automated Welding:</w:t>
      </w:r>
      <w:r>
        <w:t xml:space="preserve"> Head halves are fitted together and joined along circumferential and longitudinal seams using high-precision automated welding systems.</w:t>
      </w:r>
    </w:p>
    <w:p w14:paraId="115CEDB5" w14:textId="77777777" w:rsidR="00E41FF8" w:rsidRDefault="00000000">
      <w:pPr>
        <w:numPr>
          <w:ilvl w:val="0"/>
          <w:numId w:val="4"/>
        </w:numPr>
        <w:pBdr>
          <w:top w:val="nil"/>
          <w:left w:val="nil"/>
          <w:bottom w:val="nil"/>
          <w:right w:val="nil"/>
          <w:between w:val="nil"/>
        </w:pBdr>
      </w:pPr>
      <w:r>
        <w:rPr>
          <w:b/>
          <w:bCs/>
        </w:rPr>
        <w:t>Post-Weld Heat Treatment:</w:t>
      </w:r>
      <w:r>
        <w:t xml:space="preserve"> Assembled cylinders pass through a continuous controlled-atmosphere furnace to relieve manufacturing stresses.</w:t>
      </w:r>
    </w:p>
    <w:p w14:paraId="3517FC44" w14:textId="77777777" w:rsidR="00E41FF8" w:rsidRDefault="00000000">
      <w:pPr>
        <w:numPr>
          <w:ilvl w:val="0"/>
          <w:numId w:val="4"/>
        </w:numPr>
        <w:pBdr>
          <w:top w:val="nil"/>
          <w:left w:val="nil"/>
          <w:bottom w:val="nil"/>
          <w:right w:val="nil"/>
          <w:between w:val="nil"/>
        </w:pBdr>
      </w:pPr>
      <w:r>
        <w:rPr>
          <w:b/>
          <w:bCs/>
        </w:rPr>
        <w:t>Hydrostatic Volumetric Expansion Testing:</w:t>
      </w:r>
      <w:r>
        <w:t xml:space="preserve"> Every cylinder is subjected to water-jacket expansion testing to confirm elastic behavior under proof pressure.</w:t>
      </w:r>
    </w:p>
    <w:p w14:paraId="7435896D" w14:textId="77777777" w:rsidR="00E41FF8" w:rsidRDefault="00000000">
      <w:pPr>
        <w:numPr>
          <w:ilvl w:val="0"/>
          <w:numId w:val="4"/>
        </w:numPr>
        <w:pBdr>
          <w:top w:val="nil"/>
          <w:left w:val="nil"/>
          <w:bottom w:val="nil"/>
          <w:right w:val="nil"/>
          <w:between w:val="nil"/>
        </w:pBdr>
      </w:pPr>
      <w:r>
        <w:rPr>
          <w:b/>
          <w:bCs/>
        </w:rPr>
        <w:t>Surface Finishing, Coating, and Valve Installation:</w:t>
      </w:r>
      <w:r>
        <w:t xml:space="preserve"> Cylinders are shot-blasted, coated with corrosion-resistant primers and topcoats, and fitted with certified valve assemblies.</w:t>
      </w:r>
    </w:p>
    <w:p w14:paraId="44E61ACD" w14:textId="77777777" w:rsidR="00E41FF8" w:rsidRDefault="00000000">
      <w:pPr>
        <w:pBdr>
          <w:top w:val="nil"/>
          <w:left w:val="nil"/>
          <w:bottom w:val="nil"/>
          <w:right w:val="nil"/>
          <w:between w:val="nil"/>
        </w:pBdr>
      </w:pPr>
      <w:r>
        <w:t>Welding operations represent a critical phase in cylinder manufacturing. Regulatory standards define distinct fabrication categories based on the joining methods used:</w:t>
      </w:r>
    </w:p>
    <w:p w14:paraId="4A9EFC38" w14:textId="77777777" w:rsidR="00E41FF8" w:rsidRDefault="00000000">
      <w:pPr>
        <w:numPr>
          <w:ilvl w:val="0"/>
          <w:numId w:val="5"/>
        </w:numPr>
        <w:pBdr>
          <w:top w:val="nil"/>
          <w:left w:val="nil"/>
          <w:bottom w:val="nil"/>
          <w:right w:val="nil"/>
          <w:between w:val="nil"/>
        </w:pBdr>
      </w:pPr>
      <w:r>
        <w:rPr>
          <w:b/>
          <w:bCs/>
        </w:rPr>
        <w:t>Specification DOT-4BA:</w:t>
      </w:r>
      <w:r>
        <w:t xml:space="preserve"> Permits circumferential </w:t>
      </w:r>
      <w:proofErr w:type="spellStart"/>
      <w:r>
        <w:t>seams</w:t>
      </w:r>
      <w:proofErr w:type="spellEnd"/>
      <w:r>
        <w:t xml:space="preserve"> to be joined by fusion welding or brazing, while longitudinal seams may be copper-brazed or silver-alloy-brazed. For lap-brazed seams, the joint overlap must equal at least eight times the nominal sheet thickness, and copper alloy brazing filler must contain at least 95% copper.</w:t>
      </w:r>
    </w:p>
    <w:p w14:paraId="503ED0B3" w14:textId="77777777" w:rsidR="00E41FF8" w:rsidRDefault="00000000">
      <w:pPr>
        <w:numPr>
          <w:ilvl w:val="0"/>
          <w:numId w:val="5"/>
        </w:numPr>
        <w:pBdr>
          <w:top w:val="nil"/>
          <w:left w:val="nil"/>
          <w:bottom w:val="nil"/>
          <w:right w:val="nil"/>
          <w:between w:val="nil"/>
        </w:pBdr>
      </w:pPr>
      <w:r>
        <w:rPr>
          <w:b/>
          <w:bCs/>
        </w:rPr>
        <w:t>Specification DOT-4BW:</w:t>
      </w:r>
      <w:r>
        <w:t xml:space="preserve"> Mandates continuous electric-arc welding processes. Longitudinal seams on cylindrical bodies must be machine-butt-welded using automatic feed and torch guidance systems to achieve complete joint penetration without undercuts, overlaps, or sharp contours. Mating edge alignment tolerances are strict: misalignment between butt edges cannot exceed 1/16 inch or 1/32 inch, whichever is smaller.</w:t>
      </w:r>
    </w:p>
    <w:p w14:paraId="14D9537F" w14:textId="77777777" w:rsidR="00E41FF8" w:rsidRDefault="00000000">
      <w:pPr>
        <w:pBdr>
          <w:top w:val="nil"/>
          <w:left w:val="nil"/>
          <w:bottom w:val="nil"/>
          <w:right w:val="nil"/>
          <w:between w:val="nil"/>
        </w:pBdr>
        <w:spacing w:after="225"/>
      </w:pPr>
      <w:r>
        <w:t xml:space="preserve">All welding procedures and operator qualifications must comply with recognized industry standards, such as Compressed Gas Association (CGA) C-3. External components—including the protective valve collar and the bottom </w:t>
      </w:r>
      <w:proofErr w:type="spellStart"/>
      <w:r>
        <w:t>footring</w:t>
      </w:r>
      <w:proofErr w:type="spellEnd"/>
      <w:r>
        <w:t xml:space="preserve">—must be welded to the top and bottom </w:t>
      </w:r>
      <w:r>
        <w:lastRenderedPageBreak/>
        <w:t xml:space="preserve">heads using weldable steel with controlled carbon content. For cylinders exceeding 18 inches in length, exposed bottom head seams must be protected by a </w:t>
      </w:r>
      <w:proofErr w:type="spellStart"/>
      <w:r>
        <w:t>footring</w:t>
      </w:r>
      <w:proofErr w:type="spellEnd"/>
      <w:r>
        <w:t xml:space="preserve"> to prevent impact damage during handling and transport.</w:t>
      </w:r>
    </w:p>
    <w:p w14:paraId="7064FB43" w14:textId="77777777" w:rsidR="00E41FF8" w:rsidRDefault="00000000">
      <w:pPr>
        <w:pStyle w:val="Heading2"/>
        <w:spacing w:before="0"/>
      </w:pPr>
      <w:r>
        <w:t>Thermal Homogenization: Post-Weld Heat Treatment (PWHT)</w:t>
      </w:r>
    </w:p>
    <w:p w14:paraId="6D082828" w14:textId="77777777" w:rsidR="00E41FF8" w:rsidRDefault="00000000">
      <w:pPr>
        <w:pBdr>
          <w:top w:val="nil"/>
          <w:left w:val="nil"/>
          <w:bottom w:val="nil"/>
          <w:right w:val="nil"/>
          <w:between w:val="nil"/>
        </w:pBdr>
      </w:pPr>
      <w:r>
        <w:t>Cold drawing creates work hardening in sheet metal, while localized arc welding introduces steep thermal gradients and residual stresses within the heat-affected zone (HAZ). Unrelieved residual stresses increase susceptibility to stress corrosion cracking and structural fatigue during repeated pressurization cycles.</w:t>
      </w:r>
    </w:p>
    <w:p w14:paraId="6CF9793E" w14:textId="77777777" w:rsidR="00E41FF8" w:rsidRDefault="00000000">
      <w:pPr>
        <w:pBdr>
          <w:top w:val="nil"/>
          <w:left w:val="nil"/>
          <w:bottom w:val="nil"/>
          <w:right w:val="nil"/>
          <w:between w:val="nil"/>
        </w:pBdr>
        <w:spacing w:after="225"/>
      </w:pPr>
      <w:r>
        <w:t>To address these risks, completed cylinders must undergo post-weld heat treatment after all forming and welding operations are finished. Receptacles pass through a continuous atmospheric furnace for normalizing or stress-relief annealing, typically operating between 600^\circ\text{C} and 900^\circ\text{C} depending on the alloy composition. This heat treatment recrystallizes the grain structure, homogenizes the heat-affected zones, and relieves residual tensile stresses across all welded joints.</w:t>
      </w:r>
    </w:p>
    <w:p w14:paraId="39AD4353" w14:textId="77777777" w:rsidR="00E41FF8" w:rsidRDefault="00000000">
      <w:pPr>
        <w:pStyle w:val="Heading2"/>
        <w:spacing w:before="0"/>
      </w:pPr>
      <w:r>
        <w:t>Quality Assurance, Non-Destructive Examination, and Destructive Testing</w:t>
      </w:r>
    </w:p>
    <w:p w14:paraId="46FC8E1C" w14:textId="77777777" w:rsidR="00E41FF8" w:rsidRDefault="00000000">
      <w:pPr>
        <w:pBdr>
          <w:top w:val="nil"/>
          <w:left w:val="nil"/>
          <w:bottom w:val="nil"/>
          <w:right w:val="nil"/>
          <w:between w:val="nil"/>
        </w:pBdr>
        <w:spacing w:after="240"/>
      </w:pPr>
      <w:r>
        <w:t>Quality assurance protocols combine non-destructive surface and volumetric inspections with destructive sampling to ensure every production lot meets safety requirements.</w:t>
      </w:r>
    </w:p>
    <w:p w14:paraId="61E4A289" w14:textId="77777777" w:rsidR="00E41FF8" w:rsidRDefault="00000000">
      <w:pPr>
        <w:pStyle w:val="Heading3"/>
        <w:spacing w:before="0"/>
      </w:pPr>
      <w:r>
        <w:t>Non-Destructive Inspection Methods</w:t>
      </w:r>
    </w:p>
    <w:p w14:paraId="1B3C3DDC" w14:textId="77777777" w:rsidR="00E41FF8" w:rsidRDefault="00000000">
      <w:pPr>
        <w:pBdr>
          <w:top w:val="nil"/>
          <w:left w:val="nil"/>
          <w:bottom w:val="nil"/>
          <w:right w:val="nil"/>
          <w:between w:val="nil"/>
        </w:pBdr>
        <w:spacing w:after="240"/>
      </w:pPr>
      <w:r>
        <w:t>Automated radiographic testing (RT) is performed on longitudinal and circumferential seams to verify joint integrity and confirm the absence of internal voids, cracking, lack of penetration, or slag inclusions. In addition, 100% of manufactured shells undergo visual inspection to identify surface defects, laminations, arc burns, or geometry deviations before acceptance.</w:t>
      </w:r>
    </w:p>
    <w:p w14:paraId="711DDD76" w14:textId="77777777" w:rsidR="00E41FF8" w:rsidRDefault="00000000">
      <w:pPr>
        <w:pStyle w:val="Heading3"/>
        <w:spacing w:before="0"/>
      </w:pPr>
      <w:r>
        <w:t>Destructive Mechanical Testing Protocols</w:t>
      </w:r>
    </w:p>
    <w:p w14:paraId="21C5EF15" w14:textId="77777777" w:rsidR="00E41FF8" w:rsidRDefault="00000000">
      <w:pPr>
        <w:pBdr>
          <w:top w:val="nil"/>
          <w:left w:val="nil"/>
          <w:bottom w:val="nil"/>
          <w:right w:val="nil"/>
          <w:between w:val="nil"/>
        </w:pBdr>
      </w:pPr>
      <w:r>
        <w:t>Mechanical test coupons are cut from sample cylinders selected from each production lot (typically one out of every 200 or 500 manufactured units) following post-weld heat treatment:</w:t>
      </w:r>
    </w:p>
    <w:p w14:paraId="4171ABCE" w14:textId="77777777" w:rsidR="00E41FF8" w:rsidRDefault="00000000">
      <w:pPr>
        <w:numPr>
          <w:ilvl w:val="0"/>
          <w:numId w:val="6"/>
        </w:numPr>
        <w:pBdr>
          <w:top w:val="nil"/>
          <w:left w:val="nil"/>
          <w:bottom w:val="nil"/>
          <w:right w:val="nil"/>
          <w:between w:val="nil"/>
        </w:pBdr>
      </w:pPr>
      <w:r>
        <w:rPr>
          <w:b/>
          <w:bCs/>
        </w:rPr>
        <w:t>Tensile Strength and Ductility:</w:t>
      </w:r>
      <w:r>
        <w:t xml:space="preserve"> Specimens cut across weld seams must demonstrate required yield and ultimate tensile strength limits. Mechanical specimens must show a minimum of 40% elongation over a 2-inch gauge length, or 20% in specific configurations. Allowed elongation values decrease incrementally as material tensile strength increases above baseline thresholds (e.g., a 2% reduction per 7,500 psi increase in tensile strength above 50,000 </w:t>
      </w:r>
      <w:proofErr w:type="spellStart"/>
      <w:r>
        <w:t>psig</w:t>
      </w:r>
      <w:proofErr w:type="spellEnd"/>
      <w:r>
        <w:t>).</w:t>
      </w:r>
    </w:p>
    <w:p w14:paraId="40D8D9FF" w14:textId="77777777" w:rsidR="00E41FF8" w:rsidRDefault="00000000">
      <w:pPr>
        <w:numPr>
          <w:ilvl w:val="0"/>
          <w:numId w:val="6"/>
        </w:numPr>
        <w:pBdr>
          <w:top w:val="nil"/>
          <w:left w:val="nil"/>
          <w:bottom w:val="nil"/>
          <w:right w:val="nil"/>
          <w:between w:val="nil"/>
        </w:pBdr>
      </w:pPr>
      <w:r>
        <w:rPr>
          <w:b/>
          <w:bCs/>
        </w:rPr>
        <w:t>Guided Bend Testing:</w:t>
      </w:r>
      <w:r>
        <w:t xml:space="preserve"> Weld coupons are subjected to 180-degree root and face bend tests around a standardized mandrel without developing surface cracks exceeding specified limits.</w:t>
      </w:r>
    </w:p>
    <w:p w14:paraId="5A2FF582" w14:textId="77777777" w:rsidR="00E41FF8" w:rsidRDefault="00000000">
      <w:pPr>
        <w:numPr>
          <w:ilvl w:val="0"/>
          <w:numId w:val="6"/>
        </w:numPr>
        <w:pBdr>
          <w:top w:val="nil"/>
          <w:left w:val="nil"/>
          <w:bottom w:val="nil"/>
          <w:right w:val="nil"/>
          <w:between w:val="nil"/>
        </w:pBdr>
      </w:pPr>
      <w:r>
        <w:rPr>
          <w:b/>
          <w:bCs/>
        </w:rPr>
        <w:t>Hydrostatic Burst Testing:</w:t>
      </w:r>
      <w:r>
        <w:t xml:space="preserve"> Sample cylinders are pressurized to destruction. The rupture must exhibit ductile failure within the sidewall plate rather than along a weld seam, at a pressure significantly higher than the design test pressure.</w:t>
      </w:r>
    </w:p>
    <w:p w14:paraId="7CEA6F50" w14:textId="77777777" w:rsidR="00E41FF8" w:rsidRDefault="00000000">
      <w:pPr>
        <w:pStyle w:val="Heading3"/>
      </w:pPr>
      <w:r>
        <w:lastRenderedPageBreak/>
        <w:t>Hydrostatic Expansion Proof Testing</w:t>
      </w:r>
    </w:p>
    <w:p w14:paraId="48BD5044" w14:textId="77777777" w:rsidR="00E41FF8" w:rsidRDefault="00000000">
      <w:pPr>
        <w:pBdr>
          <w:top w:val="nil"/>
          <w:left w:val="nil"/>
          <w:bottom w:val="nil"/>
          <w:right w:val="nil"/>
          <w:between w:val="nil"/>
        </w:pBdr>
      </w:pPr>
      <w:r>
        <w:t>Every manufactured cylinder must undergo hydrostatic expansion testing before entering commercial service.</w:t>
      </w:r>
    </w:p>
    <w:p w14:paraId="21BD1274" w14:textId="77777777" w:rsidR="00E41FF8" w:rsidRDefault="00000000">
      <w:pPr>
        <w:pBdr>
          <w:top w:val="nil"/>
          <w:left w:val="nil"/>
          <w:bottom w:val="nil"/>
          <w:right w:val="nil"/>
          <w:between w:val="nil"/>
        </w:pBdr>
      </w:pPr>
      <w:r>
        <w:t xml:space="preserve">Using the water-jacket test method, the cylinder is placed inside a sealed water chamber and pressurized to at least two times its marked service pressure (e.g., a </w:t>
      </w:r>
      <w:proofErr w:type="gramStart"/>
      <w:r>
        <w:t xml:space="preserve">480 </w:t>
      </w:r>
      <w:proofErr w:type="spellStart"/>
      <w:r>
        <w:t>psig</w:t>
      </w:r>
      <w:proofErr w:type="spellEnd"/>
      <w:proofErr w:type="gramEnd"/>
      <w:r>
        <w:t xml:space="preserve"> test for a </w:t>
      </w:r>
      <w:proofErr w:type="gramStart"/>
      <w:r>
        <w:t xml:space="preserve">240 </w:t>
      </w:r>
      <w:proofErr w:type="spellStart"/>
      <w:r>
        <w:t>psig</w:t>
      </w:r>
      <w:proofErr w:type="spellEnd"/>
      <w:proofErr w:type="gramEnd"/>
      <w:r>
        <w:t xml:space="preserve"> service cylinder). Test pressure must be maintained for at least 30 seconds to allow full elastic expansion of the cylinder shell.</w:t>
      </w:r>
    </w:p>
    <w:p w14:paraId="6D79A622" w14:textId="77777777" w:rsidR="00E41FF8" w:rsidRDefault="00000000">
      <w:pPr>
        <w:pBdr>
          <w:top w:val="nil"/>
          <w:left w:val="nil"/>
          <w:bottom w:val="nil"/>
          <w:right w:val="nil"/>
          <w:between w:val="nil"/>
        </w:pBdr>
      </w:pPr>
      <w:r>
        <w:t>Water displacement measurements yield two key metrics:</w:t>
      </w:r>
    </w:p>
    <w:p w14:paraId="6EE756D1" w14:textId="77777777" w:rsidR="00E41FF8" w:rsidRDefault="00000000">
      <w:pPr>
        <w:numPr>
          <w:ilvl w:val="0"/>
          <w:numId w:val="7"/>
        </w:numPr>
        <w:pBdr>
          <w:top w:val="nil"/>
          <w:left w:val="nil"/>
          <w:bottom w:val="nil"/>
          <w:right w:val="nil"/>
          <w:between w:val="nil"/>
        </w:pBdr>
      </w:pPr>
      <w:r>
        <w:rPr>
          <w:b/>
          <w:bCs/>
        </w:rPr>
        <w:t>Total Volumetric Expansion (EV_{total}):</w:t>
      </w:r>
      <w:r>
        <w:t xml:space="preserve"> Total volume change measured under maximum test pressure.</w:t>
      </w:r>
    </w:p>
    <w:p w14:paraId="3BFA827E" w14:textId="77777777" w:rsidR="00E41FF8" w:rsidRDefault="00000000">
      <w:pPr>
        <w:numPr>
          <w:ilvl w:val="0"/>
          <w:numId w:val="7"/>
        </w:numPr>
        <w:pBdr>
          <w:top w:val="nil"/>
          <w:left w:val="nil"/>
          <w:bottom w:val="nil"/>
          <w:right w:val="nil"/>
          <w:between w:val="nil"/>
        </w:pBdr>
      </w:pPr>
      <w:r>
        <w:rPr>
          <w:b/>
          <w:bCs/>
        </w:rPr>
        <w:t>Permanent Volumetric Expansion (EV_{permanent}):</w:t>
      </w:r>
      <w:r>
        <w:t xml:space="preserve"> Residual plastic deformation remaining after pressure is fully released.</w:t>
      </w:r>
    </w:p>
    <w:p w14:paraId="146CEB46" w14:textId="77777777" w:rsidR="00E41FF8" w:rsidRDefault="00000000">
      <w:pPr>
        <w:pBdr>
          <w:top w:val="nil"/>
          <w:left w:val="nil"/>
          <w:bottom w:val="nil"/>
          <w:right w:val="nil"/>
          <w:between w:val="nil"/>
        </w:pBdr>
        <w:spacing w:after="225"/>
      </w:pPr>
      <w:r>
        <w:t>The permanent expansion ratio (\</w:t>
      </w:r>
      <w:proofErr w:type="gramStart"/>
      <w:r>
        <w:t>frac{</w:t>
      </w:r>
      <w:proofErr w:type="gramEnd"/>
      <w:r>
        <w:t>EV_{permanent</w:t>
      </w:r>
      <w:proofErr w:type="gramStart"/>
      <w:r>
        <w:t>}}{</w:t>
      </w:r>
      <w:proofErr w:type="gramEnd"/>
      <w:r>
        <w:t>EV_{total}}) must not exceed 10%. A ratio exceeding this limit indicates insufficient wall thickness or improper heat treatment, resulting in rejection and condemnation of the unit.</w:t>
      </w:r>
    </w:p>
    <w:p w14:paraId="318AAB8E" w14:textId="77777777" w:rsidR="00E41FF8" w:rsidRDefault="00000000">
      <w:pPr>
        <w:pStyle w:val="Heading2"/>
        <w:spacing w:before="0"/>
      </w:pPr>
      <w:r>
        <w:t>Valve Assemblies, Overfill Prevention, and Pressure Relief Safety Systems</w:t>
      </w:r>
    </w:p>
    <w:p w14:paraId="2FE4393C" w14:textId="77777777" w:rsidR="00E41FF8" w:rsidRDefault="00000000">
      <w:pPr>
        <w:pBdr>
          <w:top w:val="nil"/>
          <w:left w:val="nil"/>
          <w:bottom w:val="nil"/>
          <w:right w:val="nil"/>
          <w:between w:val="nil"/>
        </w:pBdr>
      </w:pPr>
      <w:r>
        <w:t>The cylinder shell must be equipped with compatible, certified valve and pressure relief assemblies to ensure safe fluid control.</w:t>
      </w:r>
    </w:p>
    <w:p w14:paraId="617473AF" w14:textId="77777777" w:rsidR="00E41FF8" w:rsidRDefault="00000000">
      <w:pPr>
        <w:pBdr>
          <w:top w:val="nil"/>
          <w:left w:val="nil"/>
          <w:bottom w:val="nil"/>
          <w:right w:val="nil"/>
          <w:between w:val="nil"/>
        </w:pBdr>
        <w:spacing w:after="240"/>
        <w:rPr>
          <w:rFonts w:ascii="Courier" w:eastAsia="Courier" w:hAnsi="Courier" w:cs="Courier"/>
        </w:rPr>
      </w:pPr>
      <w:r>
        <w:rPr>
          <w:rFonts w:ascii="Courier" w:eastAsia="Courier" w:hAnsi="Courier" w:cs="Courier"/>
        </w:rPr>
        <w:t>+---------------------------------------------------------------+</w:t>
      </w:r>
      <w:r>
        <w:rPr>
          <w:rFonts w:ascii="Courier" w:eastAsia="Courier" w:hAnsi="Courier" w:cs="Courier"/>
        </w:rPr>
        <w:br/>
        <w:t>|                      VALVE COLLAR / GUARD                     |</w:t>
      </w:r>
      <w:r>
        <w:rPr>
          <w:rFonts w:ascii="Courier" w:eastAsia="Courier" w:hAnsi="Courier" w:cs="Courier"/>
        </w:rPr>
        <w:br/>
        <w:t>+---------------------------------------------------------------+</w:t>
      </w:r>
      <w:r>
        <w:rPr>
          <w:rFonts w:ascii="Courier" w:eastAsia="Courier" w:hAnsi="Courier" w:cs="Courier"/>
        </w:rPr>
        <w:br/>
        <w:t xml:space="preserve">                                |</w:t>
      </w:r>
      <w:r>
        <w:rPr>
          <w:rFonts w:ascii="Courier" w:eastAsia="Courier" w:hAnsi="Courier" w:cs="Courier"/>
        </w:rPr>
        <w:br/>
        <w:t xml:space="preserve">                                v</w:t>
      </w:r>
      <w:r>
        <w:rPr>
          <w:rFonts w:ascii="Courier" w:eastAsia="Courier" w:hAnsi="Courier" w:cs="Courier"/>
        </w:rPr>
        <w:br/>
        <w:t>+---------------------------------------------------------------+</w:t>
      </w:r>
      <w:r>
        <w:rPr>
          <w:rFonts w:ascii="Courier" w:eastAsia="Courier" w:hAnsi="Courier" w:cs="Courier"/>
        </w:rPr>
        <w:br/>
        <w:t>|                   MAIN VALVE OPERATING HANDWHEEL              |</w:t>
      </w:r>
      <w:r>
        <w:rPr>
          <w:rFonts w:ascii="Courier" w:eastAsia="Courier" w:hAnsi="Courier" w:cs="Courier"/>
        </w:rPr>
        <w:br/>
        <w:t>+---------------------------------------------------------------+</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                       |                       |</w:t>
      </w:r>
      <w:r>
        <w:rPr>
          <w:rFonts w:ascii="Courier" w:eastAsia="Courier" w:hAnsi="Courier" w:cs="Courier"/>
        </w:rPr>
        <w:br/>
        <w:t xml:space="preserve">        v                       </w:t>
      </w:r>
      <w:proofErr w:type="spellStart"/>
      <w:r>
        <w:rPr>
          <w:rFonts w:ascii="Courier" w:eastAsia="Courier" w:hAnsi="Courier" w:cs="Courier"/>
        </w:rPr>
        <w:t>v</w:t>
      </w:r>
      <w:proofErr w:type="spellEnd"/>
      <w:r>
        <w:rPr>
          <w:rFonts w:ascii="Courier" w:eastAsia="Courier" w:hAnsi="Courier" w:cs="Courier"/>
        </w:rPr>
        <w:t xml:space="preserve">                       </w:t>
      </w:r>
      <w:proofErr w:type="spellStart"/>
      <w:r>
        <w:rPr>
          <w:rFonts w:ascii="Courier" w:eastAsia="Courier" w:hAnsi="Courier" w:cs="Courier"/>
        </w:rPr>
        <w:t>v</w:t>
      </w:r>
      <w:proofErr w:type="spellEnd"/>
      <w:r>
        <w:rPr>
          <w:rFonts w:ascii="Courier" w:eastAsia="Courier" w:hAnsi="Courier" w:cs="Courier"/>
        </w:rPr>
        <w:br/>
        <w:t>+---------------+       +---------------+       +---------------+</w:t>
      </w:r>
      <w:r>
        <w:rPr>
          <w:rFonts w:ascii="Courier" w:eastAsia="Courier" w:hAnsi="Courier" w:cs="Courier"/>
        </w:rPr>
        <w:br/>
        <w:t>| PRESSURE      |       | SERVICE       |       | OVERFILL      |</w:t>
      </w:r>
      <w:r>
        <w:rPr>
          <w:rFonts w:ascii="Courier" w:eastAsia="Courier" w:hAnsi="Courier" w:cs="Courier"/>
        </w:rPr>
        <w:br/>
        <w:t>| RELIEF VALVE  |       | OUTLET PORT   |       | PREVENTION    |</w:t>
      </w:r>
      <w:r>
        <w:rPr>
          <w:rFonts w:ascii="Courier" w:eastAsia="Courier" w:hAnsi="Courier" w:cs="Courier"/>
        </w:rPr>
        <w:br/>
        <w:t>| (SPRING-LOADED|       | (THREADED     |       | DEVICE (OPD   |</w:t>
      </w:r>
      <w:r>
        <w:rPr>
          <w:rFonts w:ascii="Courier" w:eastAsia="Courier" w:hAnsi="Courier" w:cs="Courier"/>
        </w:rPr>
        <w:br/>
        <w:t>| SAFETY PRV)   |       | COUPLING)     |       | FLOAT VALVE)  |</w:t>
      </w:r>
      <w:r>
        <w:rPr>
          <w:rFonts w:ascii="Courier" w:eastAsia="Courier" w:hAnsi="Courier" w:cs="Courier"/>
        </w:rPr>
        <w:br/>
        <w:t>+---------------+       +---------------+       +---------------+</w:t>
      </w:r>
      <w:r>
        <w:rPr>
          <w:rFonts w:ascii="Courier" w:eastAsia="Courier" w:hAnsi="Courier" w:cs="Courier"/>
        </w:rPr>
        <w:br/>
      </w:r>
    </w:p>
    <w:p w14:paraId="4B86E5F4" w14:textId="77777777" w:rsidR="00E41FF8" w:rsidRDefault="00000000">
      <w:pPr>
        <w:pStyle w:val="Heading3"/>
        <w:spacing w:before="0"/>
      </w:pPr>
      <w:r>
        <w:t>Valve Design and Thread Integrity</w:t>
      </w:r>
    </w:p>
    <w:p w14:paraId="11309244" w14:textId="77777777" w:rsidR="00E41FF8" w:rsidRDefault="00000000">
      <w:pPr>
        <w:pBdr>
          <w:top w:val="nil"/>
          <w:left w:val="nil"/>
          <w:bottom w:val="nil"/>
          <w:right w:val="nil"/>
          <w:between w:val="nil"/>
        </w:pBdr>
        <w:spacing w:after="240"/>
      </w:pPr>
      <w:r>
        <w:t xml:space="preserve">Threaded openings in cylinder </w:t>
      </w:r>
      <w:proofErr w:type="spellStart"/>
      <w:r>
        <w:t>neckrings</w:t>
      </w:r>
      <w:proofErr w:type="spellEnd"/>
      <w:r>
        <w:t xml:space="preserve"> must feature clean-cut, tapered pipe threads (such as NPT or ISO 7-1) tapped to gauge to establish a gas-tight mechanical seal when mated with the valve. Cylinder valves must comply with recognized safety codes, such as CGA V-9 or NFPA 58.</w:t>
      </w:r>
    </w:p>
    <w:p w14:paraId="0F67FF44" w14:textId="77777777" w:rsidR="00E41FF8" w:rsidRDefault="00000000">
      <w:pPr>
        <w:pStyle w:val="Heading3"/>
        <w:spacing w:before="0"/>
      </w:pPr>
      <w:r>
        <w:lastRenderedPageBreak/>
        <w:t>Pressure Relief Devices (PRDs)</w:t>
      </w:r>
    </w:p>
    <w:p w14:paraId="23B88EE6" w14:textId="77777777" w:rsidR="00E41FF8" w:rsidRDefault="00000000">
      <w:pPr>
        <w:pBdr>
          <w:top w:val="nil"/>
          <w:left w:val="nil"/>
          <w:bottom w:val="nil"/>
          <w:right w:val="nil"/>
          <w:between w:val="nil"/>
        </w:pBdr>
        <w:spacing w:after="240"/>
      </w:pPr>
      <w:r>
        <w:t>To prevent catastrophic rupture during high-temperature exposure or direct fire contact, LPG cylinders are equipped with direct spring-loaded pressure relief valves integrated into the main valve assembly. The relief valve spring is calibrated to open at a set pressure—typically between 75% and 100% of the cylinder's hydrostatic test pressure—venting LPG vapor to reduce internal pressure before automatically reseating. Flow capacity is calculated based on total container surface area to ensure gas is discharged faster than heat input can raise internal pressure.</w:t>
      </w:r>
    </w:p>
    <w:p w14:paraId="7A4ED40F" w14:textId="77777777" w:rsidR="00E41FF8" w:rsidRDefault="00000000">
      <w:pPr>
        <w:pStyle w:val="Heading3"/>
        <w:spacing w:before="0"/>
      </w:pPr>
      <w:r>
        <w:t>Overfill Prevention Devices (OPDs) and Liquid Outage Safety</w:t>
      </w:r>
    </w:p>
    <w:p w14:paraId="3D2A40BB" w14:textId="77777777" w:rsidR="00E41FF8" w:rsidRDefault="00000000">
      <w:pPr>
        <w:pBdr>
          <w:top w:val="nil"/>
          <w:left w:val="nil"/>
          <w:bottom w:val="nil"/>
          <w:right w:val="nil"/>
          <w:between w:val="nil"/>
        </w:pBdr>
      </w:pPr>
      <w:r>
        <w:t>LPG exhibits a high coefficient of thermal expansion in its liquid phase. If a container is filled completely with liquid LPG without adequate vapor space (outage), rising ambient temperatures will cause the liquid to expand and fill the vessel. Further temperature increases generate hydrostatic pressure capable of rupturing the cylinder wall regardless of metal strength.</w:t>
      </w:r>
    </w:p>
    <w:p w14:paraId="19021463" w14:textId="77777777" w:rsidR="00E41FF8" w:rsidRDefault="00000000">
      <w:pPr>
        <w:pBdr>
          <w:top w:val="nil"/>
          <w:left w:val="nil"/>
          <w:bottom w:val="nil"/>
          <w:right w:val="nil"/>
          <w:between w:val="nil"/>
        </w:pBdr>
      </w:pPr>
      <w:r>
        <w:t>Regulations mandate two key safeguards:</w:t>
      </w:r>
    </w:p>
    <w:p w14:paraId="7FD4D441" w14:textId="77777777" w:rsidR="00E41FF8" w:rsidRDefault="00000000">
      <w:pPr>
        <w:numPr>
          <w:ilvl w:val="0"/>
          <w:numId w:val="8"/>
        </w:numPr>
        <w:pBdr>
          <w:top w:val="nil"/>
          <w:left w:val="nil"/>
          <w:bottom w:val="nil"/>
          <w:right w:val="nil"/>
          <w:between w:val="nil"/>
        </w:pBdr>
      </w:pPr>
      <w:r>
        <w:rPr>
          <w:b/>
          <w:bCs/>
        </w:rPr>
        <w:t>Elevated Temperature Pressure Limits:</w:t>
      </w:r>
      <w:r>
        <w:t xml:space="preserve"> Internal pressure at 55^\circ\text{C} (131^\circ\text{F}) must not exceed 5/4 (125%) of the cylinder's marked service pressure.</w:t>
      </w:r>
    </w:p>
    <w:p w14:paraId="22DFCDF5" w14:textId="77777777" w:rsidR="00E41FF8" w:rsidRDefault="00000000">
      <w:pPr>
        <w:numPr>
          <w:ilvl w:val="0"/>
          <w:numId w:val="8"/>
        </w:numPr>
        <w:pBdr>
          <w:top w:val="nil"/>
          <w:left w:val="nil"/>
          <w:bottom w:val="nil"/>
          <w:right w:val="nil"/>
          <w:between w:val="nil"/>
        </w:pBdr>
      </w:pPr>
      <w:r>
        <w:rPr>
          <w:b/>
          <w:bCs/>
        </w:rPr>
        <w:t>Mandatory Vapor Outage:</w:t>
      </w:r>
      <w:r>
        <w:t xml:space="preserve"> Sufficient vapor space must be maintained so the container does not become liquid-full at or below 55^\circ\text{C} (131^\circ\text{F}). Modern consumer LPG valves feature an integrated Overfill Prevention Device (OPD) with an internal float mechanism that automatically stops liquid flow when the cylinder reaches 80% of its total volumetric capacity.</w:t>
      </w:r>
    </w:p>
    <w:p w14:paraId="7EECEBB8" w14:textId="77777777" w:rsidR="00E41FF8" w:rsidRDefault="00000000">
      <w:pPr>
        <w:pStyle w:val="Heading3"/>
      </w:pPr>
      <w:r>
        <w:t>Physical Protection for Valve Assemblies</w:t>
      </w:r>
    </w:p>
    <w:p w14:paraId="621BE921" w14:textId="77777777" w:rsidR="00E41FF8" w:rsidRDefault="00000000">
      <w:pPr>
        <w:pBdr>
          <w:top w:val="nil"/>
          <w:left w:val="nil"/>
          <w:bottom w:val="nil"/>
          <w:right w:val="nil"/>
          <w:between w:val="nil"/>
        </w:pBdr>
      </w:pPr>
      <w:r>
        <w:t>Valves must be protected against impact or shearing damage during transport and handling through one of three approved configurations:</w:t>
      </w:r>
    </w:p>
    <w:p w14:paraId="63CB776B" w14:textId="77777777" w:rsidR="00E41FF8" w:rsidRDefault="00000000">
      <w:pPr>
        <w:numPr>
          <w:ilvl w:val="0"/>
          <w:numId w:val="9"/>
        </w:numPr>
        <w:pBdr>
          <w:top w:val="nil"/>
          <w:left w:val="nil"/>
          <w:bottom w:val="nil"/>
          <w:right w:val="nil"/>
          <w:between w:val="nil"/>
        </w:pBdr>
      </w:pPr>
      <w:r>
        <w:t>A heavy-gauge steel collar or handle ring welded directly to the top head.</w:t>
      </w:r>
    </w:p>
    <w:p w14:paraId="0FB13B4F" w14:textId="77777777" w:rsidR="00E41FF8" w:rsidRDefault="00000000">
      <w:pPr>
        <w:numPr>
          <w:ilvl w:val="0"/>
          <w:numId w:val="9"/>
        </w:numPr>
        <w:pBdr>
          <w:top w:val="nil"/>
          <w:left w:val="nil"/>
          <w:bottom w:val="nil"/>
          <w:right w:val="nil"/>
          <w:between w:val="nil"/>
        </w:pBdr>
      </w:pPr>
      <w:r>
        <w:t xml:space="preserve">A protective metal cap screwed onto the threaded </w:t>
      </w:r>
      <w:proofErr w:type="spellStart"/>
      <w:r>
        <w:t>neckring</w:t>
      </w:r>
      <w:proofErr w:type="spellEnd"/>
      <w:r>
        <w:t>.</w:t>
      </w:r>
    </w:p>
    <w:p w14:paraId="1D3D0DB5" w14:textId="77777777" w:rsidR="00E41FF8" w:rsidRDefault="00000000">
      <w:pPr>
        <w:numPr>
          <w:ilvl w:val="0"/>
          <w:numId w:val="9"/>
        </w:numPr>
        <w:pBdr>
          <w:top w:val="nil"/>
          <w:left w:val="nil"/>
          <w:bottom w:val="nil"/>
          <w:right w:val="nil"/>
          <w:between w:val="nil"/>
        </w:pBdr>
      </w:pPr>
      <w:r>
        <w:t>A recessed top head design where the valve assembly sits below the upper rim of the cylinder shell.</w:t>
      </w:r>
    </w:p>
    <w:p w14:paraId="4A43A195" w14:textId="77777777" w:rsidR="00E41FF8" w:rsidRDefault="00000000">
      <w:pPr>
        <w:pStyle w:val="Heading2"/>
      </w:pPr>
      <w:r>
        <w:t>Comparative Analysis of Global Regulatory Frameworks</w:t>
      </w:r>
    </w:p>
    <w:p w14:paraId="1F9AC040" w14:textId="77777777" w:rsidR="00E41FF8" w:rsidRDefault="00000000">
      <w:pPr>
        <w:pBdr>
          <w:top w:val="nil"/>
          <w:left w:val="nil"/>
          <w:bottom w:val="nil"/>
          <w:right w:val="nil"/>
          <w:between w:val="nil"/>
        </w:pBdr>
      </w:pPr>
      <w:r>
        <w:t>While the mechanical principles of pressure vessel design are consistent worldwide, statutory oversight, certification pathways, and compliance requirements vary across jurisdictions.</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E41FF8" w14:paraId="331C961B" w14:textId="77777777">
        <w:trPr>
          <w:tblHeader/>
        </w:trPr>
        <w:tc>
          <w:tcPr>
            <w:tcW w:w="2340" w:type="dxa"/>
            <w:tcMar>
              <w:top w:w="0" w:type="dxa"/>
              <w:left w:w="0" w:type="dxa"/>
              <w:bottom w:w="0" w:type="dxa"/>
              <w:right w:w="0" w:type="dxa"/>
            </w:tcMar>
          </w:tcPr>
          <w:p w14:paraId="0ECE190A" w14:textId="77777777" w:rsidR="00E41FF8" w:rsidRDefault="00000000">
            <w:pPr>
              <w:pBdr>
                <w:top w:val="nil"/>
                <w:left w:val="nil"/>
                <w:bottom w:val="nil"/>
                <w:right w:val="nil"/>
                <w:between w:val="nil"/>
              </w:pBdr>
            </w:pPr>
            <w:r>
              <w:t>Regulatory Parameter</w:t>
            </w:r>
          </w:p>
        </w:tc>
        <w:tc>
          <w:tcPr>
            <w:tcW w:w="2340" w:type="dxa"/>
            <w:tcMar>
              <w:top w:w="0" w:type="dxa"/>
              <w:left w:w="0" w:type="dxa"/>
              <w:bottom w:w="0" w:type="dxa"/>
              <w:right w:w="0" w:type="dxa"/>
            </w:tcMar>
          </w:tcPr>
          <w:p w14:paraId="13A35A8B" w14:textId="77777777" w:rsidR="00E41FF8" w:rsidRDefault="00000000">
            <w:pPr>
              <w:pBdr>
                <w:top w:val="nil"/>
                <w:left w:val="nil"/>
                <w:bottom w:val="nil"/>
                <w:right w:val="nil"/>
                <w:between w:val="nil"/>
              </w:pBdr>
            </w:pPr>
            <w:r>
              <w:t>United States (US DOT / PHMSA)</w:t>
            </w:r>
          </w:p>
        </w:tc>
        <w:tc>
          <w:tcPr>
            <w:tcW w:w="2340" w:type="dxa"/>
            <w:tcMar>
              <w:top w:w="0" w:type="dxa"/>
              <w:left w:w="0" w:type="dxa"/>
              <w:bottom w:w="0" w:type="dxa"/>
              <w:right w:w="0" w:type="dxa"/>
            </w:tcMar>
          </w:tcPr>
          <w:p w14:paraId="7CD54C07" w14:textId="77777777" w:rsidR="00E41FF8" w:rsidRDefault="00000000">
            <w:pPr>
              <w:pBdr>
                <w:top w:val="nil"/>
                <w:left w:val="nil"/>
                <w:bottom w:val="nil"/>
                <w:right w:val="nil"/>
                <w:between w:val="nil"/>
              </w:pBdr>
            </w:pPr>
            <w:r>
              <w:t>European Union (EU TPED)</w:t>
            </w:r>
          </w:p>
        </w:tc>
        <w:tc>
          <w:tcPr>
            <w:tcW w:w="2340" w:type="dxa"/>
            <w:tcMar>
              <w:top w:w="0" w:type="dxa"/>
              <w:left w:w="0" w:type="dxa"/>
              <w:bottom w:w="0" w:type="dxa"/>
              <w:right w:w="0" w:type="dxa"/>
            </w:tcMar>
          </w:tcPr>
          <w:p w14:paraId="1DD297F7" w14:textId="77777777" w:rsidR="00E41FF8" w:rsidRDefault="00000000">
            <w:pPr>
              <w:pBdr>
                <w:top w:val="nil"/>
                <w:left w:val="nil"/>
                <w:bottom w:val="nil"/>
                <w:right w:val="nil"/>
                <w:between w:val="nil"/>
              </w:pBdr>
            </w:pPr>
            <w:r>
              <w:t>Japan (METI Framework)</w:t>
            </w:r>
          </w:p>
        </w:tc>
      </w:tr>
      <w:tr w:rsidR="00E41FF8" w14:paraId="33F9D335" w14:textId="77777777">
        <w:tc>
          <w:tcPr>
            <w:tcW w:w="2340" w:type="dxa"/>
            <w:tcMar>
              <w:top w:w="0" w:type="dxa"/>
              <w:left w:w="0" w:type="dxa"/>
              <w:bottom w:w="0" w:type="dxa"/>
              <w:right w:w="0" w:type="dxa"/>
            </w:tcMar>
          </w:tcPr>
          <w:p w14:paraId="6AB74633" w14:textId="77777777" w:rsidR="00E41FF8" w:rsidRDefault="00000000">
            <w:pPr>
              <w:pBdr>
                <w:top w:val="nil"/>
                <w:left w:val="nil"/>
                <w:bottom w:val="nil"/>
                <w:right w:val="nil"/>
                <w:between w:val="nil"/>
              </w:pBdr>
              <w:rPr>
                <w:b/>
                <w:bCs/>
              </w:rPr>
            </w:pPr>
            <w:r>
              <w:rPr>
                <w:b/>
                <w:bCs/>
              </w:rPr>
              <w:t>Primary Legislation</w:t>
            </w:r>
          </w:p>
        </w:tc>
        <w:tc>
          <w:tcPr>
            <w:tcW w:w="2340" w:type="dxa"/>
            <w:tcMar>
              <w:top w:w="0" w:type="dxa"/>
              <w:left w:w="0" w:type="dxa"/>
              <w:bottom w:w="0" w:type="dxa"/>
              <w:right w:w="0" w:type="dxa"/>
            </w:tcMar>
          </w:tcPr>
          <w:p w14:paraId="140CFBCE" w14:textId="77777777" w:rsidR="00E41FF8" w:rsidRDefault="00000000">
            <w:pPr>
              <w:pBdr>
                <w:top w:val="nil"/>
                <w:left w:val="nil"/>
                <w:bottom w:val="nil"/>
                <w:right w:val="nil"/>
                <w:between w:val="nil"/>
              </w:pBdr>
            </w:pPr>
            <w:r>
              <w:t>49 CFR Parts 171–180 &amp; 29 CFR 1910.110</w:t>
            </w:r>
          </w:p>
        </w:tc>
        <w:tc>
          <w:tcPr>
            <w:tcW w:w="2340" w:type="dxa"/>
            <w:tcMar>
              <w:top w:w="0" w:type="dxa"/>
              <w:left w:w="0" w:type="dxa"/>
              <w:bottom w:w="0" w:type="dxa"/>
              <w:right w:w="0" w:type="dxa"/>
            </w:tcMar>
          </w:tcPr>
          <w:p w14:paraId="5124C92E" w14:textId="77777777" w:rsidR="00E41FF8" w:rsidRDefault="00000000">
            <w:pPr>
              <w:pBdr>
                <w:top w:val="nil"/>
                <w:left w:val="nil"/>
                <w:bottom w:val="nil"/>
                <w:right w:val="nil"/>
                <w:between w:val="nil"/>
              </w:pBdr>
            </w:pPr>
            <w:r>
              <w:t>Directive 2010/35/EU &amp; Directive 2008/68/EC</w:t>
            </w:r>
          </w:p>
        </w:tc>
        <w:tc>
          <w:tcPr>
            <w:tcW w:w="2340" w:type="dxa"/>
            <w:tcMar>
              <w:top w:w="0" w:type="dxa"/>
              <w:left w:w="0" w:type="dxa"/>
              <w:bottom w:w="0" w:type="dxa"/>
              <w:right w:w="0" w:type="dxa"/>
            </w:tcMar>
          </w:tcPr>
          <w:p w14:paraId="0B46BE29" w14:textId="77777777" w:rsidR="00E41FF8" w:rsidRDefault="00000000">
            <w:pPr>
              <w:pBdr>
                <w:top w:val="nil"/>
                <w:left w:val="nil"/>
                <w:bottom w:val="nil"/>
                <w:right w:val="nil"/>
                <w:between w:val="nil"/>
              </w:pBdr>
            </w:pPr>
            <w:r>
              <w:t>High Pressure Gas Safety Act &amp; LPG Act</w:t>
            </w:r>
          </w:p>
        </w:tc>
      </w:tr>
      <w:tr w:rsidR="00E41FF8" w14:paraId="1B09A5E6" w14:textId="77777777">
        <w:tc>
          <w:tcPr>
            <w:tcW w:w="2340" w:type="dxa"/>
            <w:tcMar>
              <w:top w:w="0" w:type="dxa"/>
              <w:left w:w="0" w:type="dxa"/>
              <w:bottom w:w="0" w:type="dxa"/>
              <w:right w:w="0" w:type="dxa"/>
            </w:tcMar>
          </w:tcPr>
          <w:p w14:paraId="12286775" w14:textId="77777777" w:rsidR="00E41FF8" w:rsidRDefault="00000000">
            <w:pPr>
              <w:pBdr>
                <w:top w:val="nil"/>
                <w:left w:val="nil"/>
                <w:bottom w:val="nil"/>
                <w:right w:val="nil"/>
                <w:between w:val="nil"/>
              </w:pBdr>
              <w:rPr>
                <w:b/>
                <w:bCs/>
              </w:rPr>
            </w:pPr>
            <w:r>
              <w:rPr>
                <w:b/>
                <w:bCs/>
              </w:rPr>
              <w:t>Regulatory Body</w:t>
            </w:r>
          </w:p>
        </w:tc>
        <w:tc>
          <w:tcPr>
            <w:tcW w:w="2340" w:type="dxa"/>
            <w:tcMar>
              <w:top w:w="0" w:type="dxa"/>
              <w:left w:w="0" w:type="dxa"/>
              <w:bottom w:w="0" w:type="dxa"/>
              <w:right w:w="0" w:type="dxa"/>
            </w:tcMar>
          </w:tcPr>
          <w:p w14:paraId="3315A6C2" w14:textId="77777777" w:rsidR="00E41FF8" w:rsidRDefault="00000000">
            <w:pPr>
              <w:pBdr>
                <w:top w:val="nil"/>
                <w:left w:val="nil"/>
                <w:bottom w:val="nil"/>
                <w:right w:val="nil"/>
                <w:between w:val="nil"/>
              </w:pBdr>
            </w:pPr>
            <w:r>
              <w:t>PHMSA &amp; OSHA</w:t>
            </w:r>
          </w:p>
        </w:tc>
        <w:tc>
          <w:tcPr>
            <w:tcW w:w="2340" w:type="dxa"/>
            <w:tcMar>
              <w:top w:w="0" w:type="dxa"/>
              <w:left w:w="0" w:type="dxa"/>
              <w:bottom w:w="0" w:type="dxa"/>
              <w:right w:w="0" w:type="dxa"/>
            </w:tcMar>
          </w:tcPr>
          <w:p w14:paraId="60AB1D3E" w14:textId="77777777" w:rsidR="00E41FF8" w:rsidRDefault="00000000">
            <w:pPr>
              <w:pBdr>
                <w:top w:val="nil"/>
                <w:left w:val="nil"/>
                <w:bottom w:val="nil"/>
                <w:right w:val="nil"/>
                <w:between w:val="nil"/>
              </w:pBdr>
            </w:pPr>
            <w:r>
              <w:t>European Commission &amp; Member State Authorities</w:t>
            </w:r>
          </w:p>
        </w:tc>
        <w:tc>
          <w:tcPr>
            <w:tcW w:w="2340" w:type="dxa"/>
            <w:tcMar>
              <w:top w:w="0" w:type="dxa"/>
              <w:left w:w="0" w:type="dxa"/>
              <w:bottom w:w="0" w:type="dxa"/>
              <w:right w:w="0" w:type="dxa"/>
            </w:tcMar>
          </w:tcPr>
          <w:p w14:paraId="1F8DB947" w14:textId="77777777" w:rsidR="00E41FF8" w:rsidRDefault="00000000">
            <w:pPr>
              <w:pBdr>
                <w:top w:val="nil"/>
                <w:left w:val="nil"/>
                <w:bottom w:val="nil"/>
                <w:right w:val="nil"/>
                <w:between w:val="nil"/>
              </w:pBdr>
            </w:pPr>
            <w:r>
              <w:t>Ministry of Economy, Trade and Industry (METI)</w:t>
            </w:r>
          </w:p>
        </w:tc>
      </w:tr>
      <w:tr w:rsidR="00E41FF8" w14:paraId="7CBE9EA0" w14:textId="77777777">
        <w:tc>
          <w:tcPr>
            <w:tcW w:w="2340" w:type="dxa"/>
            <w:tcMar>
              <w:top w:w="0" w:type="dxa"/>
              <w:left w:w="0" w:type="dxa"/>
              <w:bottom w:w="0" w:type="dxa"/>
              <w:right w:w="0" w:type="dxa"/>
            </w:tcMar>
          </w:tcPr>
          <w:p w14:paraId="5C2E1882" w14:textId="77777777" w:rsidR="00E41FF8" w:rsidRDefault="00000000">
            <w:pPr>
              <w:pBdr>
                <w:top w:val="nil"/>
                <w:left w:val="nil"/>
                <w:bottom w:val="nil"/>
                <w:right w:val="nil"/>
                <w:between w:val="nil"/>
              </w:pBdr>
              <w:rPr>
                <w:b/>
                <w:bCs/>
              </w:rPr>
            </w:pPr>
            <w:r>
              <w:rPr>
                <w:b/>
                <w:bCs/>
              </w:rPr>
              <w:t>Technical Design Codes</w:t>
            </w:r>
          </w:p>
        </w:tc>
        <w:tc>
          <w:tcPr>
            <w:tcW w:w="2340" w:type="dxa"/>
            <w:tcMar>
              <w:top w:w="0" w:type="dxa"/>
              <w:left w:w="0" w:type="dxa"/>
              <w:bottom w:w="0" w:type="dxa"/>
              <w:right w:w="0" w:type="dxa"/>
            </w:tcMar>
          </w:tcPr>
          <w:p w14:paraId="6F6F16A7" w14:textId="77777777" w:rsidR="00E41FF8" w:rsidRDefault="00000000">
            <w:pPr>
              <w:pBdr>
                <w:top w:val="nil"/>
                <w:left w:val="nil"/>
                <w:bottom w:val="nil"/>
                <w:right w:val="nil"/>
                <w:between w:val="nil"/>
              </w:pBdr>
            </w:pPr>
            <w:r>
              <w:t>DOT-4B, 4BA, 4BW, 4E</w:t>
            </w:r>
          </w:p>
        </w:tc>
        <w:tc>
          <w:tcPr>
            <w:tcW w:w="2340" w:type="dxa"/>
            <w:tcMar>
              <w:top w:w="0" w:type="dxa"/>
              <w:left w:w="0" w:type="dxa"/>
              <w:bottom w:w="0" w:type="dxa"/>
              <w:right w:w="0" w:type="dxa"/>
            </w:tcMar>
          </w:tcPr>
          <w:p w14:paraId="13C5064C" w14:textId="77777777" w:rsidR="00E41FF8" w:rsidRDefault="00000000">
            <w:pPr>
              <w:pBdr>
                <w:top w:val="nil"/>
                <w:left w:val="nil"/>
                <w:bottom w:val="nil"/>
                <w:right w:val="nil"/>
                <w:between w:val="nil"/>
              </w:pBdr>
            </w:pPr>
            <w:r>
              <w:t>EN 1442, EN 14140, ISO 22991</w:t>
            </w:r>
          </w:p>
        </w:tc>
        <w:tc>
          <w:tcPr>
            <w:tcW w:w="2340" w:type="dxa"/>
            <w:tcMar>
              <w:top w:w="0" w:type="dxa"/>
              <w:left w:w="0" w:type="dxa"/>
              <w:bottom w:w="0" w:type="dxa"/>
              <w:right w:w="0" w:type="dxa"/>
            </w:tcMar>
          </w:tcPr>
          <w:p w14:paraId="088F4E61" w14:textId="77777777" w:rsidR="00E41FF8" w:rsidRDefault="00000000">
            <w:pPr>
              <w:pBdr>
                <w:top w:val="nil"/>
                <w:left w:val="nil"/>
                <w:bottom w:val="nil"/>
                <w:right w:val="nil"/>
                <w:between w:val="nil"/>
              </w:pBdr>
            </w:pPr>
            <w:r>
              <w:t>JIS B 8241 / KHK Standards</w:t>
            </w:r>
          </w:p>
        </w:tc>
      </w:tr>
      <w:tr w:rsidR="00E41FF8" w14:paraId="77BA1636" w14:textId="77777777">
        <w:tc>
          <w:tcPr>
            <w:tcW w:w="2340" w:type="dxa"/>
            <w:tcMar>
              <w:top w:w="0" w:type="dxa"/>
              <w:left w:w="0" w:type="dxa"/>
              <w:bottom w:w="0" w:type="dxa"/>
              <w:right w:w="0" w:type="dxa"/>
            </w:tcMar>
          </w:tcPr>
          <w:p w14:paraId="37D85397" w14:textId="77777777" w:rsidR="00E41FF8" w:rsidRDefault="00000000">
            <w:pPr>
              <w:pBdr>
                <w:top w:val="nil"/>
                <w:left w:val="nil"/>
                <w:bottom w:val="nil"/>
                <w:right w:val="nil"/>
                <w:between w:val="nil"/>
              </w:pBdr>
              <w:rPr>
                <w:b/>
                <w:bCs/>
              </w:rPr>
            </w:pPr>
            <w:r>
              <w:rPr>
                <w:b/>
                <w:bCs/>
              </w:rPr>
              <w:t>Conformity Mark</w:t>
            </w:r>
          </w:p>
        </w:tc>
        <w:tc>
          <w:tcPr>
            <w:tcW w:w="2340" w:type="dxa"/>
            <w:tcMar>
              <w:top w:w="0" w:type="dxa"/>
              <w:left w:w="0" w:type="dxa"/>
              <w:bottom w:w="0" w:type="dxa"/>
              <w:right w:w="0" w:type="dxa"/>
            </w:tcMar>
          </w:tcPr>
          <w:p w14:paraId="010B9E41" w14:textId="77777777" w:rsidR="00E41FF8" w:rsidRDefault="00000000">
            <w:pPr>
              <w:pBdr>
                <w:top w:val="nil"/>
                <w:left w:val="nil"/>
                <w:bottom w:val="nil"/>
                <w:right w:val="nil"/>
                <w:between w:val="nil"/>
              </w:pBdr>
            </w:pPr>
            <w:r>
              <w:t xml:space="preserve">Official DOT </w:t>
            </w:r>
            <w:r>
              <w:lastRenderedPageBreak/>
              <w:t>Specification Stamping</w:t>
            </w:r>
          </w:p>
        </w:tc>
        <w:tc>
          <w:tcPr>
            <w:tcW w:w="2340" w:type="dxa"/>
            <w:tcMar>
              <w:top w:w="0" w:type="dxa"/>
              <w:left w:w="0" w:type="dxa"/>
              <w:bottom w:w="0" w:type="dxa"/>
              <w:right w:w="0" w:type="dxa"/>
            </w:tcMar>
          </w:tcPr>
          <w:p w14:paraId="35C2C149" w14:textId="77777777" w:rsidR="00E41FF8" w:rsidRDefault="00000000">
            <w:pPr>
              <w:pBdr>
                <w:top w:val="nil"/>
                <w:left w:val="nil"/>
                <w:bottom w:val="nil"/>
                <w:right w:val="nil"/>
                <w:between w:val="nil"/>
              </w:pBdr>
            </w:pPr>
            <w:r>
              <w:lastRenderedPageBreak/>
              <w:t>Pi (\pi) Conformity Mark</w:t>
            </w:r>
          </w:p>
        </w:tc>
        <w:tc>
          <w:tcPr>
            <w:tcW w:w="2340" w:type="dxa"/>
            <w:tcMar>
              <w:top w:w="0" w:type="dxa"/>
              <w:left w:w="0" w:type="dxa"/>
              <w:bottom w:w="0" w:type="dxa"/>
              <w:right w:w="0" w:type="dxa"/>
            </w:tcMar>
          </w:tcPr>
          <w:p w14:paraId="0B7DE4AA" w14:textId="77777777" w:rsidR="00E41FF8" w:rsidRDefault="00000000">
            <w:pPr>
              <w:pBdr>
                <w:top w:val="nil"/>
                <w:left w:val="nil"/>
                <w:bottom w:val="nil"/>
                <w:right w:val="nil"/>
                <w:between w:val="nil"/>
              </w:pBdr>
            </w:pPr>
            <w:r>
              <w:t>METI Inspection Stamp</w:t>
            </w:r>
          </w:p>
        </w:tc>
      </w:tr>
      <w:tr w:rsidR="00E41FF8" w14:paraId="16B0F7D7" w14:textId="77777777">
        <w:tc>
          <w:tcPr>
            <w:tcW w:w="2340" w:type="dxa"/>
            <w:tcMar>
              <w:top w:w="0" w:type="dxa"/>
              <w:left w:w="0" w:type="dxa"/>
              <w:bottom w:w="0" w:type="dxa"/>
              <w:right w:w="0" w:type="dxa"/>
            </w:tcMar>
          </w:tcPr>
          <w:p w14:paraId="38F30842" w14:textId="77777777" w:rsidR="00E41FF8" w:rsidRDefault="00000000">
            <w:pPr>
              <w:pBdr>
                <w:top w:val="nil"/>
                <w:left w:val="nil"/>
                <w:bottom w:val="nil"/>
                <w:right w:val="nil"/>
                <w:between w:val="nil"/>
              </w:pBdr>
              <w:rPr>
                <w:b/>
                <w:bCs/>
              </w:rPr>
            </w:pPr>
            <w:r>
              <w:rPr>
                <w:b/>
                <w:bCs/>
              </w:rPr>
              <w:t>Inspection Auditing</w:t>
            </w:r>
          </w:p>
        </w:tc>
        <w:tc>
          <w:tcPr>
            <w:tcW w:w="2340" w:type="dxa"/>
            <w:tcMar>
              <w:top w:w="0" w:type="dxa"/>
              <w:left w:w="0" w:type="dxa"/>
              <w:bottom w:w="0" w:type="dxa"/>
              <w:right w:w="0" w:type="dxa"/>
            </w:tcMar>
          </w:tcPr>
          <w:p w14:paraId="5E90A284" w14:textId="77777777" w:rsidR="00E41FF8" w:rsidRDefault="00000000">
            <w:pPr>
              <w:pBdr>
                <w:top w:val="nil"/>
                <w:left w:val="nil"/>
                <w:bottom w:val="nil"/>
                <w:right w:val="nil"/>
                <w:between w:val="nil"/>
              </w:pBdr>
            </w:pPr>
            <w:r>
              <w:t>Independent Inspector / Competent Agent</w:t>
            </w:r>
          </w:p>
        </w:tc>
        <w:tc>
          <w:tcPr>
            <w:tcW w:w="2340" w:type="dxa"/>
            <w:tcMar>
              <w:top w:w="0" w:type="dxa"/>
              <w:left w:w="0" w:type="dxa"/>
              <w:bottom w:w="0" w:type="dxa"/>
              <w:right w:w="0" w:type="dxa"/>
            </w:tcMar>
          </w:tcPr>
          <w:p w14:paraId="6DB79A49" w14:textId="77777777" w:rsidR="00E41FF8" w:rsidRDefault="00000000">
            <w:pPr>
              <w:pBdr>
                <w:top w:val="nil"/>
                <w:left w:val="nil"/>
                <w:bottom w:val="nil"/>
                <w:right w:val="nil"/>
                <w:between w:val="nil"/>
              </w:pBdr>
            </w:pPr>
            <w:r>
              <w:t>Approved Notified Bodies</w:t>
            </w:r>
          </w:p>
        </w:tc>
        <w:tc>
          <w:tcPr>
            <w:tcW w:w="2340" w:type="dxa"/>
            <w:tcMar>
              <w:top w:w="0" w:type="dxa"/>
              <w:left w:w="0" w:type="dxa"/>
              <w:bottom w:w="0" w:type="dxa"/>
              <w:right w:w="0" w:type="dxa"/>
            </w:tcMar>
          </w:tcPr>
          <w:p w14:paraId="37A6D7C8" w14:textId="77777777" w:rsidR="00E41FF8" w:rsidRDefault="00000000">
            <w:pPr>
              <w:pBdr>
                <w:top w:val="nil"/>
                <w:left w:val="nil"/>
                <w:bottom w:val="nil"/>
                <w:right w:val="nil"/>
                <w:between w:val="nil"/>
              </w:pBdr>
            </w:pPr>
            <w:r>
              <w:t>Registered Gas Equipment Inspection Bodies</w:t>
            </w:r>
          </w:p>
        </w:tc>
      </w:tr>
      <w:tr w:rsidR="00E41FF8" w14:paraId="000328BF" w14:textId="77777777">
        <w:tc>
          <w:tcPr>
            <w:tcW w:w="2340" w:type="dxa"/>
            <w:tcMar>
              <w:top w:w="0" w:type="dxa"/>
              <w:left w:w="0" w:type="dxa"/>
              <w:bottom w:w="0" w:type="dxa"/>
              <w:right w:w="0" w:type="dxa"/>
            </w:tcMar>
          </w:tcPr>
          <w:p w14:paraId="1E20A0F7" w14:textId="77777777" w:rsidR="00E41FF8" w:rsidRDefault="00000000">
            <w:pPr>
              <w:pBdr>
                <w:top w:val="nil"/>
                <w:left w:val="nil"/>
                <w:bottom w:val="nil"/>
                <w:right w:val="nil"/>
                <w:between w:val="nil"/>
              </w:pBdr>
              <w:rPr>
                <w:b/>
                <w:bCs/>
              </w:rPr>
            </w:pPr>
            <w:r>
              <w:rPr>
                <w:b/>
                <w:bCs/>
              </w:rPr>
              <w:t>Hydrostatic Proof Standard</w:t>
            </w:r>
          </w:p>
        </w:tc>
        <w:tc>
          <w:tcPr>
            <w:tcW w:w="2340" w:type="dxa"/>
            <w:tcMar>
              <w:top w:w="0" w:type="dxa"/>
              <w:left w:w="0" w:type="dxa"/>
              <w:bottom w:w="0" w:type="dxa"/>
              <w:right w:w="0" w:type="dxa"/>
            </w:tcMar>
          </w:tcPr>
          <w:p w14:paraId="64CBDD80" w14:textId="77777777" w:rsidR="00E41FF8" w:rsidRDefault="00000000">
            <w:pPr>
              <w:pBdr>
                <w:top w:val="nil"/>
                <w:left w:val="nil"/>
                <w:bottom w:val="nil"/>
                <w:right w:val="nil"/>
                <w:between w:val="nil"/>
              </w:pBdr>
            </w:pPr>
            <w:r>
              <w:t>2 \times Service Pressure</w:t>
            </w:r>
          </w:p>
        </w:tc>
        <w:tc>
          <w:tcPr>
            <w:tcW w:w="2340" w:type="dxa"/>
            <w:tcMar>
              <w:top w:w="0" w:type="dxa"/>
              <w:left w:w="0" w:type="dxa"/>
              <w:bottom w:w="0" w:type="dxa"/>
              <w:right w:w="0" w:type="dxa"/>
            </w:tcMar>
          </w:tcPr>
          <w:p w14:paraId="7BFD530F" w14:textId="77777777" w:rsidR="00E41FF8" w:rsidRDefault="00000000">
            <w:pPr>
              <w:pBdr>
                <w:top w:val="nil"/>
                <w:left w:val="nil"/>
                <w:bottom w:val="nil"/>
                <w:right w:val="nil"/>
                <w:between w:val="nil"/>
              </w:pBdr>
            </w:pPr>
            <w:r>
              <w:t>Defined by ADR/RID hazard limits</w:t>
            </w:r>
          </w:p>
        </w:tc>
        <w:tc>
          <w:tcPr>
            <w:tcW w:w="2340" w:type="dxa"/>
            <w:tcMar>
              <w:top w:w="0" w:type="dxa"/>
              <w:left w:w="0" w:type="dxa"/>
              <w:bottom w:w="0" w:type="dxa"/>
              <w:right w:w="0" w:type="dxa"/>
            </w:tcMar>
          </w:tcPr>
          <w:p w14:paraId="4068654E" w14:textId="77777777" w:rsidR="00E41FF8" w:rsidRDefault="00000000">
            <w:pPr>
              <w:pBdr>
                <w:top w:val="nil"/>
                <w:left w:val="nil"/>
                <w:bottom w:val="nil"/>
                <w:right w:val="nil"/>
                <w:between w:val="nil"/>
              </w:pBdr>
            </w:pPr>
            <w:r>
              <w:t>High Pressure Gas Safety technical rules</w:t>
            </w:r>
          </w:p>
        </w:tc>
      </w:tr>
      <w:tr w:rsidR="00E41FF8" w14:paraId="4CE13F71" w14:textId="77777777">
        <w:tc>
          <w:tcPr>
            <w:tcW w:w="2340" w:type="dxa"/>
            <w:tcMar>
              <w:top w:w="0" w:type="dxa"/>
              <w:left w:w="0" w:type="dxa"/>
              <w:bottom w:w="0" w:type="dxa"/>
              <w:right w:w="0" w:type="dxa"/>
            </w:tcMar>
          </w:tcPr>
          <w:p w14:paraId="143EDED6" w14:textId="77777777" w:rsidR="00E41FF8" w:rsidRDefault="00000000">
            <w:pPr>
              <w:pBdr>
                <w:top w:val="nil"/>
                <w:left w:val="nil"/>
                <w:bottom w:val="nil"/>
                <w:right w:val="nil"/>
                <w:between w:val="nil"/>
              </w:pBdr>
              <w:rPr>
                <w:b/>
                <w:bCs/>
              </w:rPr>
            </w:pPr>
            <w:r>
              <w:rPr>
                <w:b/>
                <w:bCs/>
              </w:rPr>
              <w:t>Outage Limit Standard</w:t>
            </w:r>
          </w:p>
        </w:tc>
        <w:tc>
          <w:tcPr>
            <w:tcW w:w="2340" w:type="dxa"/>
            <w:tcMar>
              <w:top w:w="0" w:type="dxa"/>
              <w:left w:w="0" w:type="dxa"/>
              <w:bottom w:w="0" w:type="dxa"/>
              <w:right w:w="0" w:type="dxa"/>
            </w:tcMar>
          </w:tcPr>
          <w:p w14:paraId="4AF77B1B" w14:textId="77777777" w:rsidR="00E41FF8" w:rsidRDefault="00000000">
            <w:pPr>
              <w:pBdr>
                <w:top w:val="nil"/>
                <w:left w:val="nil"/>
                <w:bottom w:val="nil"/>
                <w:right w:val="nil"/>
                <w:between w:val="nil"/>
              </w:pBdr>
            </w:pPr>
            <w:r>
              <w:t>Not liquid-full at 55^\circ\text{C} (131^\circ\text{F})</w:t>
            </w:r>
          </w:p>
        </w:tc>
        <w:tc>
          <w:tcPr>
            <w:tcW w:w="2340" w:type="dxa"/>
            <w:tcMar>
              <w:top w:w="0" w:type="dxa"/>
              <w:left w:w="0" w:type="dxa"/>
              <w:bottom w:w="0" w:type="dxa"/>
              <w:right w:w="0" w:type="dxa"/>
            </w:tcMar>
          </w:tcPr>
          <w:p w14:paraId="133A876D" w14:textId="77777777" w:rsidR="00E41FF8" w:rsidRDefault="00000000">
            <w:pPr>
              <w:pBdr>
                <w:top w:val="nil"/>
                <w:left w:val="nil"/>
                <w:bottom w:val="nil"/>
                <w:right w:val="nil"/>
                <w:between w:val="nil"/>
              </w:pBdr>
            </w:pPr>
            <w:r>
              <w:t>ADR Class 2 filling ratios</w:t>
            </w:r>
          </w:p>
        </w:tc>
        <w:tc>
          <w:tcPr>
            <w:tcW w:w="2340" w:type="dxa"/>
            <w:tcMar>
              <w:top w:w="0" w:type="dxa"/>
              <w:left w:w="0" w:type="dxa"/>
              <w:bottom w:w="0" w:type="dxa"/>
              <w:right w:w="0" w:type="dxa"/>
            </w:tcMar>
          </w:tcPr>
          <w:p w14:paraId="476A1CD7" w14:textId="77777777" w:rsidR="00E41FF8" w:rsidRDefault="00000000">
            <w:pPr>
              <w:pBdr>
                <w:top w:val="nil"/>
                <w:left w:val="nil"/>
                <w:bottom w:val="nil"/>
                <w:right w:val="nil"/>
                <w:between w:val="nil"/>
              </w:pBdr>
            </w:pPr>
            <w:r>
              <w:t>Mass-based filling rules</w:t>
            </w:r>
          </w:p>
        </w:tc>
      </w:tr>
    </w:tbl>
    <w:p w14:paraId="784BBBFF" w14:textId="77777777" w:rsidR="00E41FF8" w:rsidRDefault="00000000">
      <w:pPr>
        <w:pStyle w:val="Heading3"/>
      </w:pPr>
      <w:r>
        <w:t>United States Regulatory Oversight (PHMSA &amp; OSHA)</w:t>
      </w:r>
    </w:p>
    <w:p w14:paraId="0C781FB3" w14:textId="77777777" w:rsidR="00E41FF8" w:rsidRDefault="00000000">
      <w:pPr>
        <w:pBdr>
          <w:top w:val="nil"/>
          <w:left w:val="nil"/>
          <w:bottom w:val="nil"/>
          <w:right w:val="nil"/>
          <w:between w:val="nil"/>
        </w:pBdr>
        <w:spacing w:after="240"/>
      </w:pPr>
      <w:r>
        <w:t>In the United States, the Department of Transportation's Pipeline and Hazardous Materials Safety Administration (PHMSA) regulates pressure vessel manufacturing under 49 CFR Part 178. Manufacturers must maintain certified quality control systems and utilize independent inspectors to verify compliance with CGA C-11 standards. Industrial handling and workplace use of LP-gas containers fall under Occupational Safety and Health Administration (OSHA) standards in 29 CFR 1910.110. For example, OSHA limits the total capacity of LP-gas containers stored inside work vehicles or garages to 100 pounds.</w:t>
      </w:r>
    </w:p>
    <w:p w14:paraId="7764C574" w14:textId="77777777" w:rsidR="00E41FF8" w:rsidRDefault="00000000">
      <w:pPr>
        <w:pStyle w:val="Heading3"/>
        <w:spacing w:before="0"/>
      </w:pPr>
      <w:r>
        <w:t>European Union Safety Harmonization (TPED 2010/35/EU)</w:t>
      </w:r>
    </w:p>
    <w:p w14:paraId="6FF7F284" w14:textId="77777777" w:rsidR="00E41FF8" w:rsidRDefault="00000000">
      <w:pPr>
        <w:pBdr>
          <w:top w:val="nil"/>
          <w:left w:val="nil"/>
          <w:bottom w:val="nil"/>
          <w:right w:val="nil"/>
          <w:between w:val="nil"/>
        </w:pBdr>
      </w:pPr>
      <w:r>
        <w:t>The European Union regulates transportable pressure equipment under Directive 2010/35/EU (TPED), working alongside Directive 2008/68/EC for dangerous goods transport.</w:t>
      </w:r>
    </w:p>
    <w:p w14:paraId="161FAA11" w14:textId="77777777" w:rsidR="00E41FF8" w:rsidRDefault="00000000">
      <w:pPr>
        <w:pBdr>
          <w:top w:val="nil"/>
          <w:left w:val="nil"/>
          <w:bottom w:val="nil"/>
          <w:right w:val="nil"/>
          <w:between w:val="nil"/>
        </w:pBdr>
      </w:pPr>
      <w:r>
        <w:t>Key components of the TPED framework include:</w:t>
      </w:r>
    </w:p>
    <w:p w14:paraId="57CC083E" w14:textId="77777777" w:rsidR="00E41FF8" w:rsidRDefault="00000000">
      <w:pPr>
        <w:numPr>
          <w:ilvl w:val="0"/>
          <w:numId w:val="10"/>
        </w:numPr>
        <w:pBdr>
          <w:top w:val="nil"/>
          <w:left w:val="nil"/>
          <w:bottom w:val="nil"/>
          <w:right w:val="nil"/>
          <w:between w:val="nil"/>
        </w:pBdr>
      </w:pPr>
      <w:r>
        <w:rPr>
          <w:b/>
          <w:bCs/>
        </w:rPr>
        <w:t>Conformity Assessment Procedures:</w:t>
      </w:r>
      <w:r>
        <w:t xml:space="preserve"> Manufacturers must work with independent Notified Bodies designated by EU Member States to approve design types, audit quality control systems, and inspect manufacturing.</w:t>
      </w:r>
    </w:p>
    <w:p w14:paraId="496529F5" w14:textId="77777777" w:rsidR="00E41FF8" w:rsidRDefault="00000000">
      <w:pPr>
        <w:numPr>
          <w:ilvl w:val="0"/>
          <w:numId w:val="10"/>
        </w:numPr>
        <w:pBdr>
          <w:top w:val="nil"/>
          <w:left w:val="nil"/>
          <w:bottom w:val="nil"/>
          <w:right w:val="nil"/>
          <w:between w:val="nil"/>
        </w:pBdr>
      </w:pPr>
      <w:r>
        <w:rPr>
          <w:b/>
          <w:bCs/>
        </w:rPr>
        <w:t>The Pi Mark (\pi):</w:t>
      </w:r>
      <w:r>
        <w:t xml:space="preserve"> Equipment that meets all technical and safety requirements receives the Pi mark (\pi), allowing free movement and operational use across all EU member states.</w:t>
      </w:r>
    </w:p>
    <w:p w14:paraId="49078A60" w14:textId="77777777" w:rsidR="00E41FF8" w:rsidRDefault="00000000">
      <w:pPr>
        <w:numPr>
          <w:ilvl w:val="0"/>
          <w:numId w:val="10"/>
        </w:numPr>
        <w:pBdr>
          <w:top w:val="nil"/>
          <w:left w:val="nil"/>
          <w:bottom w:val="nil"/>
          <w:right w:val="nil"/>
          <w:between w:val="nil"/>
        </w:pBdr>
      </w:pPr>
      <w:r>
        <w:rPr>
          <w:b/>
          <w:bCs/>
        </w:rPr>
        <w:t>Harmonized Standards:</w:t>
      </w:r>
      <w:r>
        <w:t xml:space="preserve"> Manufacturing in accordance with CEN standards (such as EN 1442 for welded steel LPG cylinders) establishes compliance with essential safety requirements.</w:t>
      </w:r>
    </w:p>
    <w:p w14:paraId="41544DB5" w14:textId="77777777" w:rsidR="00E41FF8" w:rsidRDefault="00000000">
      <w:pPr>
        <w:pStyle w:val="Heading3"/>
      </w:pPr>
      <w:r>
        <w:t>Japanese Industrial Safety System (METI)</w:t>
      </w:r>
    </w:p>
    <w:p w14:paraId="5A35E182" w14:textId="77777777" w:rsidR="00E41FF8" w:rsidRDefault="00000000">
      <w:pPr>
        <w:pBdr>
          <w:top w:val="nil"/>
          <w:left w:val="nil"/>
          <w:bottom w:val="nil"/>
          <w:right w:val="nil"/>
          <w:between w:val="nil"/>
        </w:pBdr>
      </w:pPr>
      <w:r>
        <w:t xml:space="preserve">Japan manages high-pressure gas containers through the Ministry of Economy, Trade and Industry (METI) under two primary statutes: the </w:t>
      </w:r>
      <w:proofErr w:type="gramStart"/>
      <w:r>
        <w:t>High Pressure</w:t>
      </w:r>
      <w:proofErr w:type="gramEnd"/>
      <w:r>
        <w:t xml:space="preserve"> Gas Safety Act (Act No. 204 of 1951) and the Act on the Securing of Safety and the Optimization of Transaction of Liquefied Petroleum Gas (Act No. 149 of 1967).</w:t>
      </w:r>
    </w:p>
    <w:p w14:paraId="60192060" w14:textId="77777777" w:rsidR="00E41FF8" w:rsidRDefault="00000000">
      <w:pPr>
        <w:pBdr>
          <w:top w:val="nil"/>
          <w:left w:val="nil"/>
          <w:bottom w:val="nil"/>
          <w:right w:val="nil"/>
          <w:between w:val="nil"/>
        </w:pBdr>
      </w:pPr>
      <w:r>
        <w:t>The Japanese system emphasizes structured oversight:</w:t>
      </w:r>
    </w:p>
    <w:p w14:paraId="3EFBEF26" w14:textId="77777777" w:rsidR="00E41FF8" w:rsidRDefault="00000000">
      <w:pPr>
        <w:numPr>
          <w:ilvl w:val="0"/>
          <w:numId w:val="11"/>
        </w:numPr>
        <w:pBdr>
          <w:top w:val="nil"/>
          <w:left w:val="nil"/>
          <w:bottom w:val="nil"/>
          <w:right w:val="nil"/>
          <w:between w:val="nil"/>
        </w:pBdr>
      </w:pPr>
      <w:r>
        <w:rPr>
          <w:b/>
          <w:bCs/>
        </w:rPr>
        <w:t>Operating Licenses:</w:t>
      </w:r>
      <w:r>
        <w:t xml:space="preserve"> Entities manufacturing high-pressure gas or operating gas filling facilities above defined capacity thresholds must obtain licenses from prefectural governors.</w:t>
      </w:r>
    </w:p>
    <w:p w14:paraId="62124A56" w14:textId="77777777" w:rsidR="00E41FF8" w:rsidRDefault="00000000">
      <w:pPr>
        <w:numPr>
          <w:ilvl w:val="0"/>
          <w:numId w:val="11"/>
        </w:numPr>
        <w:pBdr>
          <w:top w:val="nil"/>
          <w:left w:val="nil"/>
          <w:bottom w:val="nil"/>
          <w:right w:val="nil"/>
          <w:between w:val="nil"/>
        </w:pBdr>
      </w:pPr>
      <w:r>
        <w:rPr>
          <w:b/>
          <w:bCs/>
        </w:rPr>
        <w:t>Third-Party Inspection Bodies:</w:t>
      </w:r>
      <w:r>
        <w:t xml:space="preserve"> Manufacturing facilities and container inspections are audited by designated organizations, such as the </w:t>
      </w:r>
      <w:proofErr w:type="gramStart"/>
      <w:r>
        <w:t>High Pressure</w:t>
      </w:r>
      <w:proofErr w:type="gramEnd"/>
      <w:r>
        <w:t xml:space="preserve"> Gas Safety Institute of Japan (KHK) or Registered Domestic Inspection Bodies.</w:t>
      </w:r>
    </w:p>
    <w:p w14:paraId="72BAB4A8" w14:textId="77777777" w:rsidR="00E41FF8" w:rsidRDefault="00000000">
      <w:pPr>
        <w:numPr>
          <w:ilvl w:val="0"/>
          <w:numId w:val="11"/>
        </w:numPr>
        <w:pBdr>
          <w:top w:val="nil"/>
          <w:left w:val="nil"/>
          <w:bottom w:val="nil"/>
          <w:right w:val="nil"/>
          <w:between w:val="nil"/>
        </w:pBdr>
      </w:pPr>
      <w:r>
        <w:rPr>
          <w:b/>
          <w:bCs/>
        </w:rPr>
        <w:lastRenderedPageBreak/>
        <w:t>Traceability and Safety Leadership:</w:t>
      </w:r>
      <w:r>
        <w:t xml:space="preserve"> Gas suppliers and container manufacturers must execute self-inspections, maintain safety records, and appoint certified Safety Engineers to oversee operations.</w:t>
      </w:r>
    </w:p>
    <w:p w14:paraId="7FB1950D" w14:textId="77777777" w:rsidR="00E41FF8" w:rsidRDefault="00000000">
      <w:pPr>
        <w:pStyle w:val="Heading2"/>
      </w:pPr>
      <w:r>
        <w:t>Requalification, Inspection Protocols, and Lifecycle Safety Management</w:t>
      </w:r>
    </w:p>
    <w:p w14:paraId="5AB01606" w14:textId="77777777" w:rsidR="00E41FF8" w:rsidRDefault="00000000">
      <w:pPr>
        <w:pBdr>
          <w:top w:val="nil"/>
          <w:left w:val="nil"/>
          <w:bottom w:val="nil"/>
          <w:right w:val="nil"/>
          <w:between w:val="nil"/>
        </w:pBdr>
      </w:pPr>
      <w:r>
        <w:t>Safety oversight continues throughout the operational lifecycle of an LPG cylinder through periodic requalification, visual examination, and volumetric testing.</w:t>
      </w:r>
    </w:p>
    <w:p w14:paraId="3049B939" w14:textId="77777777" w:rsidR="00E41FF8" w:rsidRDefault="00000000">
      <w:pPr>
        <w:pBdr>
          <w:top w:val="nil"/>
          <w:left w:val="nil"/>
          <w:bottom w:val="nil"/>
          <w:right w:val="nil"/>
          <w:between w:val="nil"/>
        </w:pBdr>
        <w:spacing w:after="240"/>
        <w:rPr>
          <w:rFonts w:ascii="Courier" w:eastAsia="Courier" w:hAnsi="Courier" w:cs="Courier"/>
        </w:rPr>
      </w:pPr>
      <w:r>
        <w:rPr>
          <w:rFonts w:ascii="Courier" w:eastAsia="Courier" w:hAnsi="Courier" w:cs="Courier"/>
        </w:rPr>
        <w:t>+---------------------------------------------------------------+</w:t>
      </w:r>
      <w:r>
        <w:rPr>
          <w:rFonts w:ascii="Courier" w:eastAsia="Courier" w:hAnsi="Courier" w:cs="Courier"/>
        </w:rPr>
        <w:br/>
        <w:t>|            IN-SERVICE CYLINDER ARRIVAL AT DEPOT               |</w:t>
      </w:r>
      <w:r>
        <w:rPr>
          <w:rFonts w:ascii="Courier" w:eastAsia="Courier" w:hAnsi="Courier" w:cs="Courier"/>
        </w:rPr>
        <w:br/>
        <w:t>+---------------------------------------------------------------+</w:t>
      </w:r>
      <w:r>
        <w:rPr>
          <w:rFonts w:ascii="Courier" w:eastAsia="Courier" w:hAnsi="Courier" w:cs="Courier"/>
        </w:rPr>
        <w:br/>
        <w:t xml:space="preserve">                                |</w:t>
      </w:r>
      <w:r>
        <w:rPr>
          <w:rFonts w:ascii="Courier" w:eastAsia="Courier" w:hAnsi="Courier" w:cs="Courier"/>
        </w:rPr>
        <w:br/>
        <w:t xml:space="preserve">                                v</w:t>
      </w:r>
      <w:r>
        <w:rPr>
          <w:rFonts w:ascii="Courier" w:eastAsia="Courier" w:hAnsi="Courier" w:cs="Courier"/>
        </w:rPr>
        <w:br/>
        <w:t>+---------------------------------------------------------------+</w:t>
      </w:r>
      <w:r>
        <w:rPr>
          <w:rFonts w:ascii="Courier" w:eastAsia="Courier" w:hAnsi="Courier" w:cs="Courier"/>
        </w:rPr>
        <w:br/>
        <w:t>|               PRE-FILL EXTERNAL VISUAL INSPECTION             |</w:t>
      </w:r>
      <w:r>
        <w:rPr>
          <w:rFonts w:ascii="Courier" w:eastAsia="Courier" w:hAnsi="Courier" w:cs="Courier"/>
        </w:rPr>
        <w:br/>
        <w:t>+---------------------------------------------------------------+</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                                               |</w:t>
      </w:r>
      <w:r>
        <w:rPr>
          <w:rFonts w:ascii="Courier" w:eastAsia="Courier" w:hAnsi="Courier" w:cs="Courier"/>
        </w:rPr>
        <w:br/>
        <w:t xml:space="preserve">        v                                               </w:t>
      </w:r>
      <w:proofErr w:type="spellStart"/>
      <w:r>
        <w:rPr>
          <w:rFonts w:ascii="Courier" w:eastAsia="Courier" w:hAnsi="Courier" w:cs="Courier"/>
        </w:rPr>
        <w:t>v</w:t>
      </w:r>
      <w:proofErr w:type="spellEnd"/>
      <w:r>
        <w:rPr>
          <w:rFonts w:ascii="Courier" w:eastAsia="Courier" w:hAnsi="Courier" w:cs="Courier"/>
        </w:rPr>
        <w:br/>
        <w:t>+-------------------------------+               +---------------+</w:t>
      </w:r>
      <w:r>
        <w:rPr>
          <w:rFonts w:ascii="Courier" w:eastAsia="Courier" w:hAnsi="Courier" w:cs="Courier"/>
        </w:rPr>
        <w:br/>
        <w:t>| DEFECT IDENTIFIED?            |               | NO DEFECTS    |</w:t>
      </w:r>
      <w:r>
        <w:rPr>
          <w:rFonts w:ascii="Courier" w:eastAsia="Courier" w:hAnsi="Courier" w:cs="Courier"/>
        </w:rPr>
        <w:br/>
        <w:t>| (Cracks, Leaks, Dents, Bulges,|               | FOUND         |</w:t>
      </w:r>
      <w:r>
        <w:rPr>
          <w:rFonts w:ascii="Courier" w:eastAsia="Courier" w:hAnsi="Courier" w:cs="Courier"/>
        </w:rPr>
        <w:br/>
        <w:t>| Fire Damage, &gt;5% Tare Loss)   |               +-------+-------+</w:t>
      </w:r>
      <w:r>
        <w:rPr>
          <w:rFonts w:ascii="Courier" w:eastAsia="Courier" w:hAnsi="Courier" w:cs="Courier"/>
        </w:rPr>
        <w:br/>
        <w:t>+---------------+---------------+                       |</w:t>
      </w:r>
      <w:r>
        <w:rPr>
          <w:rFonts w:ascii="Courier" w:eastAsia="Courier" w:hAnsi="Courier" w:cs="Courier"/>
        </w:rPr>
        <w:br/>
        <w:t xml:space="preserve">                |                                       v</w:t>
      </w:r>
      <w:r>
        <w:rPr>
          <w:rFonts w:ascii="Courier" w:eastAsia="Courier" w:hAnsi="Courier" w:cs="Courier"/>
        </w:rPr>
        <w:br/>
        <w:t xml:space="preserve">                </w:t>
      </w:r>
      <w:proofErr w:type="spellStart"/>
      <w:r>
        <w:rPr>
          <w:rFonts w:ascii="Courier" w:eastAsia="Courier" w:hAnsi="Courier" w:cs="Courier"/>
        </w:rPr>
        <w:t>v</w:t>
      </w:r>
      <w:proofErr w:type="spellEnd"/>
      <w:r>
        <w:rPr>
          <w:rFonts w:ascii="Courier" w:eastAsia="Courier" w:hAnsi="Courier" w:cs="Courier"/>
        </w:rPr>
        <w:t xml:space="preserve">                       +-------------------------------+</w:t>
      </w:r>
      <w:r>
        <w:rPr>
          <w:rFonts w:ascii="Courier" w:eastAsia="Courier" w:hAnsi="Courier" w:cs="Courier"/>
        </w:rPr>
        <w:br/>
        <w:t>+-------------------------------+       | PROCEED TO FILLING LINE       |</w:t>
      </w:r>
      <w:r>
        <w:rPr>
          <w:rFonts w:ascii="Courier" w:eastAsia="Courier" w:hAnsi="Courier" w:cs="Courier"/>
        </w:rPr>
        <w:br/>
        <w:t>| CONDEMN AND SCRAP             |       +-------------------------------+</w:t>
      </w:r>
      <w:r>
        <w:rPr>
          <w:rFonts w:ascii="Courier" w:eastAsia="Courier" w:hAnsi="Courier" w:cs="Courier"/>
        </w:rPr>
        <w:br/>
        <w:t>| (Per 49 CFR 180 Protocols)    |</w:t>
      </w:r>
      <w:r>
        <w:rPr>
          <w:rFonts w:ascii="Courier" w:eastAsia="Courier" w:hAnsi="Courier" w:cs="Courier"/>
        </w:rPr>
        <w:br/>
        <w:t>+-------------------------------+</w:t>
      </w:r>
      <w:r>
        <w:rPr>
          <w:rFonts w:ascii="Courier" w:eastAsia="Courier" w:hAnsi="Courier" w:cs="Courier"/>
        </w:rPr>
        <w:br/>
      </w:r>
    </w:p>
    <w:p w14:paraId="17539FC5" w14:textId="77777777" w:rsidR="00E41FF8" w:rsidRDefault="00000000">
      <w:pPr>
        <w:pStyle w:val="Heading3"/>
        <w:spacing w:before="0"/>
      </w:pPr>
      <w:r>
        <w:t>In-Service Inspection and Condemnation Criteria</w:t>
      </w:r>
    </w:p>
    <w:p w14:paraId="7E24F6CB" w14:textId="77777777" w:rsidR="00E41FF8" w:rsidRDefault="00000000">
      <w:pPr>
        <w:pBdr>
          <w:top w:val="nil"/>
          <w:left w:val="nil"/>
          <w:bottom w:val="nil"/>
          <w:right w:val="nil"/>
          <w:between w:val="nil"/>
        </w:pBdr>
      </w:pPr>
      <w:r>
        <w:t>Prior to every filling operation, plant personnel must visually inspect the exterior of each cylinder. Inspection criteria and condemnation limits are governed by standards such as CGA C-6, CGA C-6.1, or CGA C-6.3. A cylinder must be removed from service, depressurized, and condemned if it exhibits any of the following conditions:</w:t>
      </w:r>
    </w:p>
    <w:p w14:paraId="6B1CCCB8" w14:textId="77777777" w:rsidR="00E41FF8" w:rsidRDefault="00000000">
      <w:pPr>
        <w:numPr>
          <w:ilvl w:val="0"/>
          <w:numId w:val="12"/>
        </w:numPr>
        <w:pBdr>
          <w:top w:val="nil"/>
          <w:left w:val="nil"/>
          <w:bottom w:val="nil"/>
          <w:right w:val="nil"/>
          <w:between w:val="nil"/>
        </w:pBdr>
      </w:pPr>
      <w:r>
        <w:rPr>
          <w:b/>
          <w:bCs/>
        </w:rPr>
        <w:t>Cracks or Active Leaks:</w:t>
      </w:r>
      <w:r>
        <w:t xml:space="preserve"> Any structural seam cracking or gas leakage through the base metal or heat-affected zone.</w:t>
      </w:r>
    </w:p>
    <w:p w14:paraId="4AE69C2A" w14:textId="77777777" w:rsidR="00E41FF8" w:rsidRDefault="00000000">
      <w:pPr>
        <w:numPr>
          <w:ilvl w:val="0"/>
          <w:numId w:val="12"/>
        </w:numPr>
        <w:pBdr>
          <w:top w:val="nil"/>
          <w:left w:val="nil"/>
          <w:bottom w:val="nil"/>
          <w:right w:val="nil"/>
          <w:between w:val="nil"/>
        </w:pBdr>
      </w:pPr>
      <w:r>
        <w:rPr>
          <w:b/>
          <w:bCs/>
        </w:rPr>
        <w:t>Physical Deformation:</w:t>
      </w:r>
      <w:r>
        <w:t xml:space="preserve"> Severe denting, bulging, deep gouges, or arc burns resulting from accidental electrical contact.</w:t>
      </w:r>
    </w:p>
    <w:p w14:paraId="0C01D1B3" w14:textId="77777777" w:rsidR="00E41FF8" w:rsidRDefault="00000000">
      <w:pPr>
        <w:numPr>
          <w:ilvl w:val="0"/>
          <w:numId w:val="12"/>
        </w:numPr>
        <w:pBdr>
          <w:top w:val="nil"/>
          <w:left w:val="nil"/>
          <w:bottom w:val="nil"/>
          <w:right w:val="nil"/>
          <w:between w:val="nil"/>
        </w:pBdr>
      </w:pPr>
      <w:r>
        <w:t>**Corrosion and Excessive Weight Loss: Deep pitting, line corrosion, or general corrosion that reduces wall thickness. Any DOT 4-series cylinder that loses 5% or more of its marked official tare weight must be requalified before refilling.</w:t>
      </w:r>
    </w:p>
    <w:p w14:paraId="3CD67CB8" w14:textId="77777777" w:rsidR="00E41FF8" w:rsidRDefault="00000000">
      <w:pPr>
        <w:numPr>
          <w:ilvl w:val="0"/>
          <w:numId w:val="12"/>
        </w:numPr>
        <w:pBdr>
          <w:top w:val="nil"/>
          <w:left w:val="nil"/>
          <w:bottom w:val="nil"/>
          <w:right w:val="nil"/>
          <w:between w:val="nil"/>
        </w:pBdr>
      </w:pPr>
      <w:r>
        <w:rPr>
          <w:b/>
          <w:bCs/>
        </w:rPr>
        <w:lastRenderedPageBreak/>
        <w:t>Thermal or Fire Damage:</w:t>
      </w:r>
      <w:r>
        <w:t xml:space="preserve"> Structural distortion, blistering, or microstructural changes caused by direct fire contact or extreme heat exposure.</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E41FF8" w14:paraId="3887C4EC" w14:textId="77777777">
        <w:trPr>
          <w:tblHeader/>
        </w:trPr>
        <w:tc>
          <w:tcPr>
            <w:tcW w:w="2340" w:type="dxa"/>
            <w:tcMar>
              <w:top w:w="0" w:type="dxa"/>
              <w:left w:w="0" w:type="dxa"/>
              <w:bottom w:w="0" w:type="dxa"/>
              <w:right w:w="0" w:type="dxa"/>
            </w:tcMar>
          </w:tcPr>
          <w:p w14:paraId="0B7B7DA2" w14:textId="77777777" w:rsidR="00E41FF8" w:rsidRDefault="00000000">
            <w:pPr>
              <w:pBdr>
                <w:top w:val="nil"/>
                <w:left w:val="nil"/>
                <w:bottom w:val="nil"/>
                <w:right w:val="nil"/>
                <w:between w:val="nil"/>
              </w:pBdr>
            </w:pPr>
            <w:r>
              <w:t>Cylinder Specification</w:t>
            </w:r>
          </w:p>
        </w:tc>
        <w:tc>
          <w:tcPr>
            <w:tcW w:w="2340" w:type="dxa"/>
            <w:tcMar>
              <w:top w:w="0" w:type="dxa"/>
              <w:left w:w="0" w:type="dxa"/>
              <w:bottom w:w="0" w:type="dxa"/>
              <w:right w:w="0" w:type="dxa"/>
            </w:tcMar>
          </w:tcPr>
          <w:p w14:paraId="1B8F5AB7" w14:textId="77777777" w:rsidR="00E41FF8" w:rsidRDefault="00000000">
            <w:pPr>
              <w:pBdr>
                <w:top w:val="nil"/>
                <w:left w:val="nil"/>
                <w:bottom w:val="nil"/>
                <w:right w:val="nil"/>
                <w:between w:val="nil"/>
              </w:pBdr>
            </w:pPr>
            <w:r>
              <w:t>Initial Requalification Period</w:t>
            </w:r>
          </w:p>
        </w:tc>
        <w:tc>
          <w:tcPr>
            <w:tcW w:w="2340" w:type="dxa"/>
            <w:tcMar>
              <w:top w:w="0" w:type="dxa"/>
              <w:left w:w="0" w:type="dxa"/>
              <w:bottom w:w="0" w:type="dxa"/>
              <w:right w:w="0" w:type="dxa"/>
            </w:tcMar>
          </w:tcPr>
          <w:p w14:paraId="6597CE0F" w14:textId="77777777" w:rsidR="00E41FF8" w:rsidRDefault="00000000">
            <w:pPr>
              <w:pBdr>
                <w:top w:val="nil"/>
                <w:left w:val="nil"/>
                <w:bottom w:val="nil"/>
                <w:right w:val="nil"/>
                <w:between w:val="nil"/>
              </w:pBdr>
            </w:pPr>
            <w:r>
              <w:t>Standard Requalification Method</w:t>
            </w:r>
          </w:p>
        </w:tc>
        <w:tc>
          <w:tcPr>
            <w:tcW w:w="2340" w:type="dxa"/>
            <w:tcMar>
              <w:top w:w="0" w:type="dxa"/>
              <w:left w:w="0" w:type="dxa"/>
              <w:bottom w:w="0" w:type="dxa"/>
              <w:right w:w="0" w:type="dxa"/>
            </w:tcMar>
          </w:tcPr>
          <w:p w14:paraId="0BC8FC67" w14:textId="77777777" w:rsidR="00E41FF8" w:rsidRDefault="00000000">
            <w:pPr>
              <w:pBdr>
                <w:top w:val="nil"/>
                <w:left w:val="nil"/>
                <w:bottom w:val="nil"/>
                <w:right w:val="nil"/>
                <w:between w:val="nil"/>
              </w:pBdr>
            </w:pPr>
            <w:r>
              <w:t>Extension Interval Conditions</w:t>
            </w:r>
          </w:p>
        </w:tc>
      </w:tr>
      <w:tr w:rsidR="00E41FF8" w14:paraId="0185A13F" w14:textId="77777777">
        <w:tc>
          <w:tcPr>
            <w:tcW w:w="2340" w:type="dxa"/>
            <w:tcMar>
              <w:top w:w="0" w:type="dxa"/>
              <w:left w:w="0" w:type="dxa"/>
              <w:bottom w:w="0" w:type="dxa"/>
              <w:right w:w="0" w:type="dxa"/>
            </w:tcMar>
          </w:tcPr>
          <w:p w14:paraId="4B9A72D7" w14:textId="77777777" w:rsidR="00E41FF8" w:rsidRDefault="00000000">
            <w:pPr>
              <w:pBdr>
                <w:top w:val="nil"/>
                <w:left w:val="nil"/>
                <w:bottom w:val="nil"/>
                <w:right w:val="nil"/>
                <w:between w:val="nil"/>
              </w:pBdr>
              <w:rPr>
                <w:b/>
                <w:bCs/>
              </w:rPr>
            </w:pPr>
            <w:r>
              <w:rPr>
                <w:b/>
                <w:bCs/>
              </w:rPr>
              <w:t>DOT 4B, 4BA, 4BW</w:t>
            </w:r>
          </w:p>
        </w:tc>
        <w:tc>
          <w:tcPr>
            <w:tcW w:w="2340" w:type="dxa"/>
            <w:tcMar>
              <w:top w:w="0" w:type="dxa"/>
              <w:left w:w="0" w:type="dxa"/>
              <w:bottom w:w="0" w:type="dxa"/>
              <w:right w:w="0" w:type="dxa"/>
            </w:tcMar>
          </w:tcPr>
          <w:p w14:paraId="7F348B87" w14:textId="77777777" w:rsidR="00E41FF8" w:rsidRDefault="00000000">
            <w:pPr>
              <w:pBdr>
                <w:top w:val="nil"/>
                <w:left w:val="nil"/>
                <w:bottom w:val="nil"/>
                <w:right w:val="nil"/>
                <w:between w:val="nil"/>
              </w:pBdr>
            </w:pPr>
            <w:r>
              <w:t>5 Years from test date</w:t>
            </w:r>
          </w:p>
        </w:tc>
        <w:tc>
          <w:tcPr>
            <w:tcW w:w="2340" w:type="dxa"/>
            <w:tcMar>
              <w:top w:w="0" w:type="dxa"/>
              <w:left w:w="0" w:type="dxa"/>
              <w:bottom w:w="0" w:type="dxa"/>
              <w:right w:w="0" w:type="dxa"/>
            </w:tcMar>
          </w:tcPr>
          <w:p w14:paraId="1DD9A9B0" w14:textId="77777777" w:rsidR="00E41FF8" w:rsidRDefault="00000000">
            <w:pPr>
              <w:pBdr>
                <w:top w:val="nil"/>
                <w:left w:val="nil"/>
                <w:bottom w:val="nil"/>
                <w:right w:val="nil"/>
                <w:between w:val="nil"/>
              </w:pBdr>
            </w:pPr>
            <w:r>
              <w:t>Hydrostatic volumetric expansion</w:t>
            </w:r>
          </w:p>
        </w:tc>
        <w:tc>
          <w:tcPr>
            <w:tcW w:w="2340" w:type="dxa"/>
            <w:tcMar>
              <w:top w:w="0" w:type="dxa"/>
              <w:left w:w="0" w:type="dxa"/>
              <w:bottom w:w="0" w:type="dxa"/>
              <w:right w:w="0" w:type="dxa"/>
            </w:tcMar>
          </w:tcPr>
          <w:p w14:paraId="424F914A" w14:textId="77777777" w:rsidR="00E41FF8" w:rsidRDefault="00000000">
            <w:pPr>
              <w:pBdr>
                <w:top w:val="nil"/>
                <w:left w:val="nil"/>
                <w:bottom w:val="nil"/>
                <w:right w:val="nil"/>
                <w:between w:val="nil"/>
              </w:pBdr>
            </w:pPr>
            <w:r>
              <w:t>Re-test every 5, 7, 10, or 12 years depending on method &amp; gas service</w:t>
            </w:r>
          </w:p>
        </w:tc>
      </w:tr>
      <w:tr w:rsidR="00E41FF8" w14:paraId="33C2D10A" w14:textId="77777777">
        <w:tc>
          <w:tcPr>
            <w:tcW w:w="2340" w:type="dxa"/>
            <w:tcMar>
              <w:top w:w="0" w:type="dxa"/>
              <w:left w:w="0" w:type="dxa"/>
              <w:bottom w:w="0" w:type="dxa"/>
              <w:right w:w="0" w:type="dxa"/>
            </w:tcMar>
          </w:tcPr>
          <w:p w14:paraId="7E87ADCC" w14:textId="77777777" w:rsidR="00E41FF8" w:rsidRDefault="00000000">
            <w:pPr>
              <w:pBdr>
                <w:top w:val="nil"/>
                <w:left w:val="nil"/>
                <w:bottom w:val="nil"/>
                <w:right w:val="nil"/>
                <w:between w:val="nil"/>
              </w:pBdr>
            </w:pPr>
            <w:r>
              <w:rPr>
                <w:b/>
                <w:bCs/>
              </w:rPr>
              <w:t>DOT 4B, 4BA, 4BW, 4E</w:t>
            </w:r>
            <w:r>
              <w:t xml:space="preserve"> (Non-Corrosive Service)</w:t>
            </w:r>
          </w:p>
        </w:tc>
        <w:tc>
          <w:tcPr>
            <w:tcW w:w="2340" w:type="dxa"/>
            <w:tcMar>
              <w:top w:w="0" w:type="dxa"/>
              <w:left w:w="0" w:type="dxa"/>
              <w:bottom w:w="0" w:type="dxa"/>
              <w:right w:w="0" w:type="dxa"/>
            </w:tcMar>
          </w:tcPr>
          <w:p w14:paraId="362368FE" w14:textId="77777777" w:rsidR="00E41FF8" w:rsidRDefault="00000000">
            <w:pPr>
              <w:pBdr>
                <w:top w:val="nil"/>
                <w:left w:val="nil"/>
                <w:bottom w:val="nil"/>
                <w:right w:val="nil"/>
                <w:between w:val="nil"/>
              </w:pBdr>
            </w:pPr>
            <w:r>
              <w:t>12 Years from manufacture date</w:t>
            </w:r>
          </w:p>
        </w:tc>
        <w:tc>
          <w:tcPr>
            <w:tcW w:w="2340" w:type="dxa"/>
            <w:tcMar>
              <w:top w:w="0" w:type="dxa"/>
              <w:left w:w="0" w:type="dxa"/>
              <w:bottom w:w="0" w:type="dxa"/>
              <w:right w:w="0" w:type="dxa"/>
            </w:tcMar>
          </w:tcPr>
          <w:p w14:paraId="077F9D49" w14:textId="77777777" w:rsidR="00E41FF8" w:rsidRDefault="00000000">
            <w:pPr>
              <w:pBdr>
                <w:top w:val="nil"/>
                <w:left w:val="nil"/>
                <w:bottom w:val="nil"/>
                <w:right w:val="nil"/>
                <w:between w:val="nil"/>
              </w:pBdr>
            </w:pPr>
            <w:r>
              <w:t>Volumetric expansion test</w:t>
            </w:r>
          </w:p>
        </w:tc>
        <w:tc>
          <w:tcPr>
            <w:tcW w:w="2340" w:type="dxa"/>
            <w:tcMar>
              <w:top w:w="0" w:type="dxa"/>
              <w:left w:w="0" w:type="dxa"/>
              <w:bottom w:w="0" w:type="dxa"/>
              <w:right w:w="0" w:type="dxa"/>
            </w:tcMar>
          </w:tcPr>
          <w:p w14:paraId="45C1B829" w14:textId="77777777" w:rsidR="00E41FF8" w:rsidRDefault="00000000">
            <w:pPr>
              <w:pBdr>
                <w:top w:val="nil"/>
                <w:left w:val="nil"/>
                <w:bottom w:val="nil"/>
                <w:right w:val="nil"/>
                <w:between w:val="nil"/>
              </w:pBdr>
            </w:pPr>
            <w:r>
              <w:t xml:space="preserve">Proof pressure </w:t>
            </w:r>
            <w:proofErr w:type="gramStart"/>
            <w:r>
              <w:t>test</w:t>
            </w:r>
            <w:proofErr w:type="gramEnd"/>
            <w:r>
              <w:t xml:space="preserve"> every 10 years after initial 12-year cycle</w:t>
            </w:r>
          </w:p>
        </w:tc>
      </w:tr>
      <w:tr w:rsidR="00E41FF8" w14:paraId="0FDAF42A" w14:textId="77777777">
        <w:tc>
          <w:tcPr>
            <w:tcW w:w="2340" w:type="dxa"/>
            <w:tcMar>
              <w:top w:w="0" w:type="dxa"/>
              <w:left w:w="0" w:type="dxa"/>
              <w:bottom w:w="0" w:type="dxa"/>
              <w:right w:w="0" w:type="dxa"/>
            </w:tcMar>
          </w:tcPr>
          <w:p w14:paraId="53DA45CC" w14:textId="77777777" w:rsidR="00E41FF8" w:rsidRDefault="00000000">
            <w:pPr>
              <w:pBdr>
                <w:top w:val="nil"/>
                <w:left w:val="nil"/>
                <w:bottom w:val="nil"/>
                <w:right w:val="nil"/>
                <w:between w:val="nil"/>
              </w:pBdr>
            </w:pPr>
            <w:r>
              <w:rPr>
                <w:b/>
                <w:bCs/>
              </w:rPr>
              <w:t>Small Cylinders</w:t>
            </w:r>
            <w:r>
              <w:t xml:space="preserve"> (\le 12 </w:t>
            </w:r>
            <w:proofErr w:type="spellStart"/>
            <w:r>
              <w:t>lb</w:t>
            </w:r>
            <w:proofErr w:type="spellEnd"/>
            <w:r>
              <w:t xml:space="preserve"> Water Capacity)</w:t>
            </w:r>
          </w:p>
        </w:tc>
        <w:tc>
          <w:tcPr>
            <w:tcW w:w="2340" w:type="dxa"/>
            <w:tcMar>
              <w:top w:w="0" w:type="dxa"/>
              <w:left w:w="0" w:type="dxa"/>
              <w:bottom w:w="0" w:type="dxa"/>
              <w:right w:w="0" w:type="dxa"/>
            </w:tcMar>
          </w:tcPr>
          <w:p w14:paraId="77B482CA" w14:textId="77777777" w:rsidR="00E41FF8" w:rsidRDefault="00000000">
            <w:pPr>
              <w:pBdr>
                <w:top w:val="nil"/>
                <w:left w:val="nil"/>
                <w:bottom w:val="nil"/>
                <w:right w:val="nil"/>
                <w:between w:val="nil"/>
              </w:pBdr>
            </w:pPr>
            <w:r>
              <w:t>Periodic visual check due date</w:t>
            </w:r>
          </w:p>
        </w:tc>
        <w:tc>
          <w:tcPr>
            <w:tcW w:w="2340" w:type="dxa"/>
            <w:tcMar>
              <w:top w:w="0" w:type="dxa"/>
              <w:left w:w="0" w:type="dxa"/>
              <w:bottom w:w="0" w:type="dxa"/>
              <w:right w:w="0" w:type="dxa"/>
            </w:tcMar>
          </w:tcPr>
          <w:p w14:paraId="630A7DDC" w14:textId="77777777" w:rsidR="00E41FF8" w:rsidRDefault="00000000">
            <w:pPr>
              <w:pBdr>
                <w:top w:val="nil"/>
                <w:left w:val="nil"/>
                <w:bottom w:val="nil"/>
                <w:right w:val="nil"/>
                <w:between w:val="nil"/>
              </w:pBdr>
            </w:pPr>
            <w:r>
              <w:t>External visual per CGA C-6 / C-6.1</w:t>
            </w:r>
          </w:p>
        </w:tc>
        <w:tc>
          <w:tcPr>
            <w:tcW w:w="2340" w:type="dxa"/>
            <w:tcMar>
              <w:top w:w="0" w:type="dxa"/>
              <w:left w:w="0" w:type="dxa"/>
              <w:bottom w:w="0" w:type="dxa"/>
              <w:right w:w="0" w:type="dxa"/>
            </w:tcMar>
          </w:tcPr>
          <w:p w14:paraId="248B5224" w14:textId="77777777" w:rsidR="00E41FF8" w:rsidRDefault="00000000">
            <w:pPr>
              <w:pBdr>
                <w:top w:val="nil"/>
                <w:left w:val="nil"/>
                <w:bottom w:val="nil"/>
                <w:right w:val="nil"/>
                <w:between w:val="nil"/>
              </w:pBdr>
            </w:pPr>
            <w:r>
              <w:t>Proof pressure test permitted</w:t>
            </w:r>
          </w:p>
        </w:tc>
      </w:tr>
      <w:tr w:rsidR="00E41FF8" w14:paraId="49C3657B" w14:textId="77777777">
        <w:tc>
          <w:tcPr>
            <w:tcW w:w="2340" w:type="dxa"/>
            <w:tcMar>
              <w:top w:w="0" w:type="dxa"/>
              <w:left w:w="0" w:type="dxa"/>
              <w:bottom w:w="0" w:type="dxa"/>
              <w:right w:w="0" w:type="dxa"/>
            </w:tcMar>
          </w:tcPr>
          <w:p w14:paraId="5DD5B4DD" w14:textId="77777777" w:rsidR="00E41FF8" w:rsidRDefault="00000000">
            <w:pPr>
              <w:pBdr>
                <w:top w:val="nil"/>
                <w:left w:val="nil"/>
                <w:bottom w:val="nil"/>
                <w:right w:val="nil"/>
                <w:between w:val="nil"/>
              </w:pBdr>
              <w:rPr>
                <w:b/>
                <w:bCs/>
              </w:rPr>
            </w:pPr>
            <w:r>
              <w:rPr>
                <w:b/>
                <w:bCs/>
              </w:rPr>
              <w:t>EU TPED LPG Vessels</w:t>
            </w:r>
          </w:p>
        </w:tc>
        <w:tc>
          <w:tcPr>
            <w:tcW w:w="2340" w:type="dxa"/>
            <w:tcMar>
              <w:top w:w="0" w:type="dxa"/>
              <w:left w:w="0" w:type="dxa"/>
              <w:bottom w:w="0" w:type="dxa"/>
              <w:right w:w="0" w:type="dxa"/>
            </w:tcMar>
          </w:tcPr>
          <w:p w14:paraId="6A8878AB" w14:textId="77777777" w:rsidR="00E41FF8" w:rsidRDefault="00000000">
            <w:pPr>
              <w:pBdr>
                <w:top w:val="nil"/>
                <w:left w:val="nil"/>
                <w:bottom w:val="nil"/>
                <w:right w:val="nil"/>
                <w:between w:val="nil"/>
              </w:pBdr>
            </w:pPr>
            <w:r>
              <w:t>10 to 15 Years</w:t>
            </w:r>
          </w:p>
        </w:tc>
        <w:tc>
          <w:tcPr>
            <w:tcW w:w="2340" w:type="dxa"/>
            <w:tcMar>
              <w:top w:w="0" w:type="dxa"/>
              <w:left w:w="0" w:type="dxa"/>
              <w:bottom w:w="0" w:type="dxa"/>
              <w:right w:w="0" w:type="dxa"/>
            </w:tcMar>
          </w:tcPr>
          <w:p w14:paraId="108A3807" w14:textId="77777777" w:rsidR="00E41FF8" w:rsidRDefault="00000000">
            <w:pPr>
              <w:pBdr>
                <w:top w:val="nil"/>
                <w:left w:val="nil"/>
                <w:bottom w:val="nil"/>
                <w:right w:val="nil"/>
                <w:between w:val="nil"/>
              </w:pBdr>
            </w:pPr>
            <w:r>
              <w:t>Periodic inspection &amp; pressure test</w:t>
            </w:r>
          </w:p>
        </w:tc>
        <w:tc>
          <w:tcPr>
            <w:tcW w:w="2340" w:type="dxa"/>
            <w:tcMar>
              <w:top w:w="0" w:type="dxa"/>
              <w:left w:w="0" w:type="dxa"/>
              <w:bottom w:w="0" w:type="dxa"/>
              <w:right w:w="0" w:type="dxa"/>
            </w:tcMar>
          </w:tcPr>
          <w:p w14:paraId="21941A58" w14:textId="77777777" w:rsidR="00E41FF8" w:rsidRDefault="00000000">
            <w:pPr>
              <w:pBdr>
                <w:top w:val="nil"/>
                <w:left w:val="nil"/>
                <w:bottom w:val="nil"/>
                <w:right w:val="nil"/>
                <w:between w:val="nil"/>
              </w:pBdr>
            </w:pPr>
            <w:r>
              <w:t>Managed under Notified Body oversight</w:t>
            </w:r>
          </w:p>
        </w:tc>
      </w:tr>
    </w:tbl>
    <w:p w14:paraId="6818EC68" w14:textId="77777777" w:rsidR="00E41FF8" w:rsidRDefault="00000000">
      <w:pPr>
        <w:pBdr>
          <w:top w:val="nil"/>
          <w:left w:val="nil"/>
          <w:bottom w:val="nil"/>
          <w:right w:val="nil"/>
          <w:between w:val="nil"/>
        </w:pBdr>
      </w:pPr>
      <w:r>
        <w:t>### Permanent Marking and Traceability Stamping</w:t>
      </w:r>
    </w:p>
    <w:p w14:paraId="1F3251FC" w14:textId="77777777" w:rsidR="00E41FF8" w:rsidRDefault="00000000">
      <w:pPr>
        <w:pBdr>
          <w:top w:val="nil"/>
          <w:left w:val="nil"/>
          <w:bottom w:val="nil"/>
          <w:right w:val="nil"/>
          <w:between w:val="nil"/>
        </w:pBdr>
      </w:pPr>
      <w:r>
        <w:t>To ensure lifecycle traceability, every cylinder must be permanently stamped on its shoulder, top head, neck, or attached collar ring. Markings must be applied using low-stress steel dies to prevent stress concentration points in pressure-retaining walls.</w:t>
      </w:r>
    </w:p>
    <w:p w14:paraId="68800237" w14:textId="77777777" w:rsidR="00E41FF8" w:rsidRDefault="00000000">
      <w:pPr>
        <w:pBdr>
          <w:top w:val="nil"/>
          <w:left w:val="nil"/>
          <w:bottom w:val="nil"/>
          <w:right w:val="nil"/>
          <w:between w:val="nil"/>
        </w:pBdr>
        <w:rPr>
          <w:rFonts w:ascii="Courier" w:eastAsia="Courier" w:hAnsi="Courier" w:cs="Courier"/>
        </w:rPr>
      </w:pPr>
      <w:r>
        <w:rPr>
          <w:rFonts w:ascii="Courier" w:eastAsia="Courier" w:hAnsi="Courier" w:cs="Courier"/>
        </w:rPr>
        <w:t>+-------------------------[span_</w:t>
      </w:r>
      <w:proofErr w:type="gramStart"/>
      <w:r>
        <w:rPr>
          <w:rFonts w:ascii="Courier" w:eastAsia="Courier" w:hAnsi="Courier" w:cs="Courier"/>
        </w:rPr>
        <w:t>107](</w:t>
      </w:r>
      <w:proofErr w:type="spellStart"/>
      <w:proofErr w:type="gramEnd"/>
      <w:r>
        <w:rPr>
          <w:rFonts w:ascii="Courier" w:eastAsia="Courier" w:hAnsi="Courier" w:cs="Courier"/>
        </w:rPr>
        <w:t>start_</w:t>
      </w:r>
      <w:proofErr w:type="gramStart"/>
      <w:r>
        <w:rPr>
          <w:rFonts w:ascii="Courier" w:eastAsia="Courier" w:hAnsi="Courier" w:cs="Courier"/>
        </w:rPr>
        <w:t>span</w:t>
      </w:r>
      <w:proofErr w:type="spellEnd"/>
      <w:r>
        <w:rPr>
          <w:rFonts w:ascii="Courier" w:eastAsia="Courier" w:hAnsi="Courier" w:cs="Courier"/>
        </w:rPr>
        <w:t>)[</w:t>
      </w:r>
      <w:proofErr w:type="gramEnd"/>
      <w:r>
        <w:rPr>
          <w:rFonts w:ascii="Courier" w:eastAsia="Courier" w:hAnsi="Courier" w:cs="Courier"/>
        </w:rPr>
        <w:t>span_</w:t>
      </w:r>
      <w:proofErr w:type="gramStart"/>
      <w:r>
        <w:rPr>
          <w:rFonts w:ascii="Courier" w:eastAsia="Courier" w:hAnsi="Courier" w:cs="Courier"/>
        </w:rPr>
        <w:t>107](</w:t>
      </w:r>
      <w:proofErr w:type="spellStart"/>
      <w:proofErr w:type="gramEnd"/>
      <w:r>
        <w:rPr>
          <w:rFonts w:ascii="Courier" w:eastAsia="Courier" w:hAnsi="Courier" w:cs="Courier"/>
        </w:rPr>
        <w:t>end_</w:t>
      </w:r>
      <w:proofErr w:type="gramStart"/>
      <w:r>
        <w:rPr>
          <w:rFonts w:ascii="Courier" w:eastAsia="Courier" w:hAnsi="Courier" w:cs="Courier"/>
        </w:rPr>
        <w:t>span</w:t>
      </w:r>
      <w:proofErr w:type="spellEnd"/>
      <w:r>
        <w:rPr>
          <w:rFonts w:ascii="Courier" w:eastAsia="Courier" w:hAnsi="Courier" w:cs="Courier"/>
        </w:rPr>
        <w:t>)--------------------------------------</w:t>
      </w:r>
      <w:proofErr w:type="gramEnd"/>
      <w:r>
        <w:rPr>
          <w:rFonts w:ascii="Courier" w:eastAsia="Courier" w:hAnsi="Courier" w:cs="Courier"/>
        </w:rPr>
        <w:t>+</w:t>
      </w:r>
      <w:r>
        <w:rPr>
          <w:rFonts w:ascii="Courier" w:eastAsia="Courier" w:hAnsi="Courier" w:cs="Courier"/>
        </w:rPr>
        <w:br/>
        <w:t>|               DOT-4BW240 - 123456 - XY                        |</w:t>
      </w:r>
      <w:r>
        <w:rPr>
          <w:rFonts w:ascii="Courier" w:eastAsia="Courier" w:hAnsi="Courier" w:cs="Courier"/>
        </w:rPr>
        <w:br/>
        <w:t>|                    AB  05/24                                  |</w:t>
      </w:r>
      <w:r>
        <w:rPr>
          <w:rFonts w:ascii="Courier" w:eastAsia="Courier" w:hAnsi="Courier" w:cs="Courier"/>
        </w:rPr>
        <w:br/>
        <w:t xml:space="preserve">|               TW 18.2 </w:t>
      </w:r>
      <w:proofErr w:type="spellStart"/>
      <w:r>
        <w:rPr>
          <w:rFonts w:ascii="Courier" w:eastAsia="Courier" w:hAnsi="Courier" w:cs="Courier"/>
        </w:rPr>
        <w:t>lbs</w:t>
      </w:r>
      <w:proofErr w:type="spellEnd"/>
      <w:r>
        <w:rPr>
          <w:rFonts w:ascii="Courier" w:eastAsia="Courier" w:hAnsi="Courier" w:cs="Courier"/>
        </w:rPr>
        <w:t xml:space="preserve"> - WC 47.6 </w:t>
      </w:r>
      <w:proofErr w:type="spellStart"/>
      <w:r>
        <w:rPr>
          <w:rFonts w:ascii="Courier" w:eastAsia="Courier" w:hAnsi="Courier" w:cs="Courier"/>
        </w:rPr>
        <w:t>lbs</w:t>
      </w:r>
      <w:proofErr w:type="spellEnd"/>
      <w:r>
        <w:rPr>
          <w:rFonts w:ascii="Courier" w:eastAsia="Courier" w:hAnsi="Courier" w:cs="Courier"/>
        </w:rPr>
        <w:t xml:space="preserve">                       |</w:t>
      </w:r>
      <w:r>
        <w:rPr>
          <w:rFonts w:ascii="Courier" w:eastAsia="Courier" w:hAnsi="Courier" w:cs="Courier"/>
        </w:rPr>
        <w:br/>
        <w:t>+---------------------------------------------------------------+</w:t>
      </w:r>
      <w:r>
        <w:rPr>
          <w:rFonts w:ascii="Courier" w:eastAsia="Courier" w:hAnsi="Courier" w:cs="Courier"/>
        </w:rPr>
        <w:br/>
      </w:r>
    </w:p>
    <w:p w14:paraId="11E1F7BD" w14:textId="77777777" w:rsidR="00E41FF8" w:rsidRDefault="00000000">
      <w:pPr>
        <w:pBdr>
          <w:top w:val="nil"/>
          <w:left w:val="nil"/>
          <w:bottom w:val="nil"/>
          <w:right w:val="nil"/>
          <w:between w:val="nil"/>
        </w:pBdr>
      </w:pPr>
      <w:r>
        <w:t>The standard marking sequence contains:</w:t>
      </w:r>
    </w:p>
    <w:p w14:paraId="24E9B586" w14:textId="77777777" w:rsidR="00E41FF8" w:rsidRDefault="00000000">
      <w:pPr>
        <w:numPr>
          <w:ilvl w:val="0"/>
          <w:numId w:val="13"/>
        </w:numPr>
        <w:pBdr>
          <w:top w:val="nil"/>
          <w:left w:val="nil"/>
          <w:bottom w:val="nil"/>
          <w:right w:val="nil"/>
          <w:between w:val="nil"/>
        </w:pBdr>
      </w:pPr>
      <w:r>
        <w:rPr>
          <w:b/>
          <w:bCs/>
        </w:rPr>
        <w:t>Specification Code and Service Pressure:</w:t>
      </w:r>
      <w:r>
        <w:t xml:space="preserve"> The regulatory code followed by the designated working pressure (such as DOT-4BW240 or DOT-4BA300).</w:t>
      </w:r>
    </w:p>
    <w:p w14:paraId="34E5A16F" w14:textId="77777777" w:rsidR="00E41FF8" w:rsidRDefault="00000000">
      <w:pPr>
        <w:numPr>
          <w:ilvl w:val="0"/>
          <w:numId w:val="13"/>
        </w:numPr>
        <w:pBdr>
          <w:top w:val="nil"/>
          <w:left w:val="nil"/>
          <w:bottom w:val="nil"/>
          <w:right w:val="nil"/>
          <w:between w:val="nil"/>
        </w:pBdr>
      </w:pPr>
      <w:r>
        <w:rPr>
          <w:b/>
          <w:bCs/>
        </w:rPr>
        <w:t>Serial Number:</w:t>
      </w:r>
      <w:r>
        <w:t xml:space="preserve"> A unique alphanumeric identifier assigned by the manufacturer (123456).</w:t>
      </w:r>
    </w:p>
    <w:p w14:paraId="686EEB4D" w14:textId="77777777" w:rsidR="00E41FF8" w:rsidRDefault="00000000">
      <w:pPr>
        <w:numPr>
          <w:ilvl w:val="0"/>
          <w:numId w:val="13"/>
        </w:numPr>
        <w:pBdr>
          <w:top w:val="nil"/>
          <w:left w:val="nil"/>
          <w:bottom w:val="nil"/>
          <w:right w:val="nil"/>
          <w:between w:val="nil"/>
        </w:pBdr>
      </w:pPr>
      <w:r>
        <w:rPr>
          <w:b/>
          <w:bCs/>
        </w:rPr>
        <w:t>Manufacturer Symbol:</w:t>
      </w:r>
      <w:r>
        <w:t xml:space="preserve"> An officially registered symbol identifying the production facility (XY).</w:t>
      </w:r>
    </w:p>
    <w:p w14:paraId="0245C9DC" w14:textId="77777777" w:rsidR="00E41FF8" w:rsidRDefault="00000000">
      <w:pPr>
        <w:numPr>
          <w:ilvl w:val="0"/>
          <w:numId w:val="13"/>
        </w:numPr>
        <w:pBdr>
          <w:top w:val="nil"/>
          <w:left w:val="nil"/>
          <w:bottom w:val="nil"/>
          <w:right w:val="nil"/>
          <w:between w:val="nil"/>
        </w:pBdr>
      </w:pPr>
      <w:r>
        <w:rPr>
          <w:b/>
          <w:bCs/>
        </w:rPr>
        <w:t>Inspector Mark:</w:t>
      </w:r>
      <w:r>
        <w:t xml:space="preserve"> The official mark of the certified inspector verifying compliance (AB).</w:t>
      </w:r>
    </w:p>
    <w:p w14:paraId="4A5DAB14" w14:textId="77777777" w:rsidR="00E41FF8" w:rsidRDefault="00000000">
      <w:pPr>
        <w:numPr>
          <w:ilvl w:val="0"/>
          <w:numId w:val="13"/>
        </w:numPr>
        <w:pBdr>
          <w:top w:val="nil"/>
          <w:left w:val="nil"/>
          <w:bottom w:val="nil"/>
          <w:right w:val="nil"/>
          <w:between w:val="nil"/>
        </w:pBdr>
      </w:pPr>
      <w:r>
        <w:rPr>
          <w:b/>
          <w:bCs/>
        </w:rPr>
        <w:t>Manufacturing Test Date:</w:t>
      </w:r>
      <w:r>
        <w:t xml:space="preserve"> The month and year of initial hydrostatic testing (e.g., 05-24 indicating May 2024).</w:t>
      </w:r>
    </w:p>
    <w:p w14:paraId="0678F3EA" w14:textId="77777777" w:rsidR="00E41FF8" w:rsidRDefault="00000000">
      <w:pPr>
        <w:numPr>
          <w:ilvl w:val="0"/>
          <w:numId w:val="13"/>
        </w:numPr>
        <w:pBdr>
          <w:top w:val="nil"/>
          <w:left w:val="nil"/>
          <w:bottom w:val="nil"/>
          <w:right w:val="nil"/>
          <w:between w:val="nil"/>
        </w:pBdr>
      </w:pPr>
      <w:r>
        <w:rPr>
          <w:b/>
          <w:bCs/>
        </w:rPr>
        <w:t>Tare Weight and Water Capacity:</w:t>
      </w:r>
      <w:r>
        <w:t xml:space="preserve"> DOT 4B, 4BA, 4BW, and 4E cylinders manufactured for liquefied compressed gas service must be permanently stamped with their unladen tare weight and total water capacity. If requalification alters the tare weight, the updated weight is stamped adjacent to the original, which is strike-lined without being obscured.</w:t>
      </w:r>
    </w:p>
    <w:p w14:paraId="693213B9" w14:textId="77777777" w:rsidR="00E41FF8" w:rsidRDefault="00000000">
      <w:pPr>
        <w:pStyle w:val="Heading2"/>
      </w:pPr>
      <w:r>
        <w:t>Conclusion and Industry Trajectory</w:t>
      </w:r>
    </w:p>
    <w:p w14:paraId="412B977E" w14:textId="77777777" w:rsidR="00E41FF8" w:rsidRDefault="00000000">
      <w:pPr>
        <w:pBdr>
          <w:top w:val="nil"/>
          <w:left w:val="nil"/>
          <w:bottom w:val="nil"/>
          <w:right w:val="nil"/>
          <w:between w:val="nil"/>
        </w:pBdr>
      </w:pPr>
      <w:r>
        <w:t>The production of Liquefied Petroleum Gas cylinders relies on a combination of material selection, automated manufacturing processes, post-weld heat treatment, and strict quality control. Adherence to established regulatory frameworks—including US DOT 49 CFR, EU TPED 2010/35/EU, and Japan’s High Pressure Gas Safety Act—helps ensure pressure vessel reliability throughout its operational lifecycle.</w:t>
      </w:r>
    </w:p>
    <w:p w14:paraId="405F9D35" w14:textId="77777777" w:rsidR="00E41FF8" w:rsidRDefault="00000000">
      <w:pPr>
        <w:pBdr>
          <w:top w:val="nil"/>
          <w:left w:val="nil"/>
          <w:bottom w:val="nil"/>
          <w:right w:val="nil"/>
          <w:between w:val="nil"/>
        </w:pBdr>
        <w:spacing w:after="255"/>
      </w:pPr>
      <w:r>
        <w:t xml:space="preserve">Technological advancements continue to improve cylinder design and safety tracking. The industry is increasingly incorporating composite materials, such as Type 4 fully-wrapped fiber-reinforced containers, alongside real-time ultrasonic array inspection systems and embedded </w:t>
      </w:r>
      <w:r>
        <w:lastRenderedPageBreak/>
        <w:t>RFID tags for automated traceability. These developments build upon traditional metallurgical and mechanical engineering principles, supporting safety, regulatory compliance, and operational reliability across global LPG distribution networks.</w:t>
      </w:r>
    </w:p>
    <w:p w14:paraId="2F1ECB54" w14:textId="77777777" w:rsidR="00E41FF8" w:rsidRDefault="00000000">
      <w:pPr>
        <w:pStyle w:val="Heading4"/>
        <w:spacing w:before="0"/>
      </w:pPr>
      <w:r>
        <w:t>Works cited</w:t>
      </w:r>
    </w:p>
    <w:p w14:paraId="4B6B1D85" w14:textId="77777777" w:rsidR="00E41FF8" w:rsidRDefault="00000000">
      <w:pPr>
        <w:pBdr>
          <w:top w:val="nil"/>
          <w:left w:val="nil"/>
          <w:bottom w:val="nil"/>
          <w:right w:val="nil"/>
          <w:between w:val="nil"/>
        </w:pBdr>
      </w:pPr>
      <w:r>
        <w:rPr>
          <w:rFonts w:ascii="Arial Unicode MS" w:eastAsia="Arial Unicode MS" w:hAnsi="Arial Unicode MS" w:cs="Arial Unicode MS"/>
        </w:rPr>
        <w:t xml:space="preserve">1. 49 CFR Part 178 Subpart C -- Specifications for Cylinders - </w:t>
      </w:r>
      <w:proofErr w:type="spellStart"/>
      <w:r>
        <w:rPr>
          <w:rFonts w:ascii="Arial Unicode MS" w:eastAsia="Arial Unicode MS" w:hAnsi="Arial Unicode MS" w:cs="Arial Unicode MS"/>
        </w:rPr>
        <w:t>eCFR</w:t>
      </w:r>
      <w:proofErr w:type="spellEnd"/>
      <w:r>
        <w:rPr>
          <w:rFonts w:ascii="Arial Unicode MS" w:eastAsia="Arial Unicode MS" w:hAnsi="Arial Unicode MS" w:cs="Arial Unicode MS"/>
        </w:rPr>
        <w:t xml:space="preserve">, https://www.ecfr.gov/current/title-49/subtitle-B/chapter-I/subchapter-C/part-178/subpart-C 2. I DIRECTIVES - EUR-Lex - European Union, https://eur-lex.europa.eu/LexUriServ/LexUriServ.do?uri=OJ:L:2010:165:0001:0018:EN:PDF 3. Order for Enforcement of Industrial Safety and Health Act - Table Format - Japanese Law Translation, https://www.japaneselawtranslation.go.jp/en/laws/view/3817/tb 4. 49 CFR Part 180 Subpart C -- Qualification, Maintenance and Use of Cylinders - </w:t>
      </w:r>
      <w:proofErr w:type="spellStart"/>
      <w:r>
        <w:rPr>
          <w:rFonts w:ascii="Arial Unicode MS" w:eastAsia="Arial Unicode MS" w:hAnsi="Arial Unicode MS" w:cs="Arial Unicode MS"/>
        </w:rPr>
        <w:t>eCFR</w:t>
      </w:r>
      <w:proofErr w:type="spellEnd"/>
      <w:r>
        <w:rPr>
          <w:rFonts w:ascii="Arial Unicode MS" w:eastAsia="Arial Unicode MS" w:hAnsi="Arial Unicode MS" w:cs="Arial Unicode MS"/>
        </w:rPr>
        <w:t xml:space="preserve">, https://www.ecfr.gov/current/title-49/subtitle-B/chapter-I/subchapter-C/part-180/subpart-C 5. Transportable pressure equipment | EUR-Lex - European Union, https://eur-lex.europa.eu/EN/legal-content/summary/transportable-pressure-equipment.html 6. High Pressure Gas Safety Act - English - Japanese Law Translation, https://www.japaneselawtranslation.go.jp/en/laws/view/4754/en 7. 49 CFR 178.61 -- Specification 4BW welded steel cylinders with electric-arc welded seam. - </w:t>
      </w:r>
      <w:proofErr w:type="spellStart"/>
      <w:r>
        <w:rPr>
          <w:rFonts w:ascii="Arial Unicode MS" w:eastAsia="Arial Unicode MS" w:hAnsi="Arial Unicode MS" w:cs="Arial Unicode MS"/>
        </w:rPr>
        <w:t>eCFR</w:t>
      </w:r>
      <w:proofErr w:type="spellEnd"/>
      <w:r>
        <w:rPr>
          <w:rFonts w:ascii="Arial Unicode MS" w:eastAsia="Arial Unicode MS" w:hAnsi="Arial Unicode MS" w:cs="Arial Unicode MS"/>
        </w:rPr>
        <w:t xml:space="preserve">, https://www.ecfr.gov/current/title-49/subtitle-B/chapter-I/subchapter-C/part-178/subpart-C/section-178.61 8. 49 CFR 178.51 -- Specification 4BA welded or brazed steel cylinders. - </w:t>
      </w:r>
      <w:proofErr w:type="spellStart"/>
      <w:r>
        <w:rPr>
          <w:rFonts w:ascii="Arial Unicode MS" w:eastAsia="Arial Unicode MS" w:hAnsi="Arial Unicode MS" w:cs="Arial Unicode MS"/>
        </w:rPr>
        <w:t>eCFR</w:t>
      </w:r>
      <w:proofErr w:type="spellEnd"/>
      <w:r>
        <w:rPr>
          <w:rFonts w:ascii="Arial Unicode MS" w:eastAsia="Arial Unicode MS" w:hAnsi="Arial Unicode MS" w:cs="Arial Unicode MS"/>
        </w:rPr>
        <w:t xml:space="preserve">, https://www.ecfr.gov/current/title-49/subtitle-B/chapter-I/subchapter-C/part-178/subpart-C/section-178.51 9. 49 CFR 180.209 -- Requirements for requalification of specification cylinders. - </w:t>
      </w:r>
      <w:proofErr w:type="spellStart"/>
      <w:r>
        <w:rPr>
          <w:rFonts w:ascii="Arial Unicode MS" w:eastAsia="Arial Unicode MS" w:hAnsi="Arial Unicode MS" w:cs="Arial Unicode MS"/>
        </w:rPr>
        <w:t>eCFR</w:t>
      </w:r>
      <w:proofErr w:type="spellEnd"/>
      <w:r>
        <w:rPr>
          <w:rFonts w:ascii="Arial Unicode MS" w:eastAsia="Arial Unicode MS" w:hAnsi="Arial Unicode MS" w:cs="Arial Unicode MS"/>
        </w:rPr>
        <w:t xml:space="preserve">, https://www.ecfr.gov/current/title-49/subtitle-B/chapter-I/subchapter-C/part-180/subpart-C/section-180.209 10. 49 CFR 173.301 -- General requirements for shipment of compressed gases and other hazardous materials in cylinders, UN pressure receptacles, and spherical pressure vessels. - </w:t>
      </w:r>
      <w:proofErr w:type="spellStart"/>
      <w:r>
        <w:rPr>
          <w:rFonts w:ascii="Arial Unicode MS" w:eastAsia="Arial Unicode MS" w:hAnsi="Arial Unicode MS" w:cs="Arial Unicode MS"/>
        </w:rPr>
        <w:t>eCFR</w:t>
      </w:r>
      <w:proofErr w:type="spellEnd"/>
      <w:r>
        <w:rPr>
          <w:rFonts w:ascii="Arial Unicode MS" w:eastAsia="Arial Unicode MS" w:hAnsi="Arial Unicode MS" w:cs="Arial Unicode MS"/>
        </w:rPr>
        <w:t xml:space="preserve">, https://www.ecfr.gov/current/title-49/subtitle-B/chapter-I/subchapter-C/part-173/subpart-G/section-173.301 11. 49 CFR Part 173 Subpart G -- Gases; Preparation and Packaging - </w:t>
      </w:r>
      <w:proofErr w:type="spellStart"/>
      <w:r>
        <w:rPr>
          <w:rFonts w:ascii="Arial Unicode MS" w:eastAsia="Arial Unicode MS" w:hAnsi="Arial Unicode MS" w:cs="Arial Unicode MS"/>
        </w:rPr>
        <w:t>eCFR</w:t>
      </w:r>
      <w:proofErr w:type="spellEnd"/>
      <w:r>
        <w:rPr>
          <w:rFonts w:ascii="Arial Unicode MS" w:eastAsia="Arial Unicode MS" w:hAnsi="Arial Unicode MS" w:cs="Arial Unicode MS"/>
        </w:rPr>
        <w:t xml:space="preserve">, https://www.ecfr.gov/current/title-49/subtitle-B/chapter-I/subchapter-C/part-173/subpart-G 12. </w:t>
      </w:r>
      <w:proofErr w:type="spellStart"/>
      <w:proofErr w:type="gramStart"/>
      <w:r>
        <w:rPr>
          <w:rFonts w:ascii="Arial Unicode MS" w:eastAsia="Arial Unicode MS" w:hAnsi="Arial Unicode MS" w:cs="Arial Unicode MS"/>
        </w:rPr>
        <w:t>eTool</w:t>
      </w:r>
      <w:proofErr w:type="spellEnd"/>
      <w:r>
        <w:rPr>
          <w:rFonts w:ascii="Arial Unicode MS" w:eastAsia="Arial Unicode MS" w:hAnsi="Arial Unicode MS" w:cs="Arial Unicode MS"/>
        </w:rPr>
        <w:t xml:space="preserve"> :</w:t>
      </w:r>
      <w:proofErr w:type="gramEnd"/>
      <w:r>
        <w:rPr>
          <w:rFonts w:ascii="Arial Unicode MS" w:eastAsia="Arial Unicode MS" w:hAnsi="Arial Unicode MS" w:cs="Arial Unicode MS"/>
        </w:rPr>
        <w:t xml:space="preserve"> Powered Industrial Trucks (Forklift) - Types &amp; Fundamentals - Power Sources - Internal Combustion | Occupational Safety and Health Administration, https://www.osha.gov/etools/powered-industrial-trucks/types-fundamentals/power-sources/internal-combustion 13. 1910.268 - Telecommunications. | Occupational Safety and Health Administration, https://www.osha.gov/laws-regs/regulations/standardnumber/1910/1910.268 14. Pressure equipment | EUR-Lex - European Union, https://eur-lex.europa.eu/EN/legal-content/summary/pressure-equipment.html 15. Act on the Securing of Safety and the Optimization of Transaction of Liquefied Petroleum Gas - Japanese Law Translation, https://www.japaneselawtranslation.go.jp/en/laws/link/897 16. </w:t>
      </w:r>
      <w:proofErr w:type="spellStart"/>
      <w:r>
        <w:rPr>
          <w:rFonts w:ascii="Arial Unicode MS" w:eastAsia="Arial Unicode MS" w:hAnsi="Arial Unicode MS" w:cs="Arial Unicode MS"/>
        </w:rPr>
        <w:t>高圧ガス保安法</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英語</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日本法令外国語訳DBシステム</w:t>
      </w:r>
      <w:proofErr w:type="spellEnd"/>
      <w:r>
        <w:rPr>
          <w:rFonts w:ascii="Arial Unicode MS" w:eastAsia="Arial Unicode MS" w:hAnsi="Arial Unicode MS" w:cs="Arial Unicode MS"/>
        </w:rPr>
        <w:t xml:space="preserve"> - Japanese Law Translation, https://www.japaneselawtranslation.go.jp/ja/laws/view/4555/en 17. Gas Business Act - English - Japanese Law Translation, https://www.japaneselawtranslation.go.jp/en/laws/view/2782/en 18. High Pressure Gas Safety Act - Japanese Law Translation, https://www.japaneselawtranslation.go.jp/en/laws/view/1974 19. 49 CFR Part 180 -- Continuing Qualification and Maintenance of </w:t>
      </w:r>
      <w:proofErr w:type="spellStart"/>
      <w:r>
        <w:rPr>
          <w:rFonts w:ascii="Arial Unicode MS" w:eastAsia="Arial Unicode MS" w:hAnsi="Arial Unicode MS" w:cs="Arial Unicode MS"/>
        </w:rPr>
        <w:t>Packagings</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eCFR</w:t>
      </w:r>
      <w:proofErr w:type="spellEnd"/>
      <w:r>
        <w:rPr>
          <w:rFonts w:ascii="Arial Unicode MS" w:eastAsia="Arial Unicode MS" w:hAnsi="Arial Unicode MS" w:cs="Arial Unicode MS"/>
        </w:rPr>
        <w:t>, https://www.ecfr.gov/current/title-49/subtitle-B/chapter-I/subchapter-C/part-180</w:t>
      </w:r>
    </w:p>
    <w:sectPr w:rsidR="00E41FF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7ADABD9-BAAB-4710-BE65-C0A8475CDC52}"/>
  </w:font>
  <w:font w:name="Courier">
    <w:altName w:val="Courier New"/>
    <w:panose1 w:val="02070409020205020404"/>
    <w:charset w:val="00"/>
    <w:family w:val="auto"/>
    <w:pitch w:val="default"/>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B18E19E0-4E3C-491D-99CC-34B000E6FF4A}"/>
  </w:font>
  <w:font w:name="Cambria">
    <w:panose1 w:val="02040503050406030204"/>
    <w:charset w:val="00"/>
    <w:family w:val="roman"/>
    <w:pitch w:val="variable"/>
    <w:sig w:usb0="E00006FF" w:usb1="420024FF" w:usb2="02000000" w:usb3="00000000" w:csb0="0000019F" w:csb1="00000000"/>
    <w:embedRegular r:id="rId3" w:fontKey="{272E24C5-89E8-4EBC-81FB-D98428E801A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5957"/>
    <w:multiLevelType w:val="multilevel"/>
    <w:tmpl w:val="4820731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AB45794"/>
    <w:multiLevelType w:val="multilevel"/>
    <w:tmpl w:val="21ECE45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A7F1E2B"/>
    <w:multiLevelType w:val="multilevel"/>
    <w:tmpl w:val="435474F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BF2635A"/>
    <w:multiLevelType w:val="multilevel"/>
    <w:tmpl w:val="8B34D21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C054F04"/>
    <w:multiLevelType w:val="multilevel"/>
    <w:tmpl w:val="2E003B9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4F929D9"/>
    <w:multiLevelType w:val="multilevel"/>
    <w:tmpl w:val="45CC1E0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9F25E00"/>
    <w:multiLevelType w:val="multilevel"/>
    <w:tmpl w:val="0152250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D7D4873"/>
    <w:multiLevelType w:val="multilevel"/>
    <w:tmpl w:val="6608DF6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E953E43"/>
    <w:multiLevelType w:val="multilevel"/>
    <w:tmpl w:val="9B0A4A8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61095670"/>
    <w:multiLevelType w:val="multilevel"/>
    <w:tmpl w:val="C1E27CE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36A20B1"/>
    <w:multiLevelType w:val="multilevel"/>
    <w:tmpl w:val="C53C0D7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76FF5C47"/>
    <w:multiLevelType w:val="multilevel"/>
    <w:tmpl w:val="B12A0D2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7A4D1CAE"/>
    <w:multiLevelType w:val="multilevel"/>
    <w:tmpl w:val="032048A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90638517">
    <w:abstractNumId w:val="11"/>
  </w:num>
  <w:num w:numId="2" w16cid:durableId="12804211">
    <w:abstractNumId w:val="8"/>
  </w:num>
  <w:num w:numId="3" w16cid:durableId="836574973">
    <w:abstractNumId w:val="10"/>
  </w:num>
  <w:num w:numId="4" w16cid:durableId="933630415">
    <w:abstractNumId w:val="12"/>
  </w:num>
  <w:num w:numId="5" w16cid:durableId="619338532">
    <w:abstractNumId w:val="0"/>
  </w:num>
  <w:num w:numId="6" w16cid:durableId="927811612">
    <w:abstractNumId w:val="3"/>
  </w:num>
  <w:num w:numId="7" w16cid:durableId="229734575">
    <w:abstractNumId w:val="5"/>
  </w:num>
  <w:num w:numId="8" w16cid:durableId="1914388796">
    <w:abstractNumId w:val="6"/>
  </w:num>
  <w:num w:numId="9" w16cid:durableId="869758522">
    <w:abstractNumId w:val="1"/>
  </w:num>
  <w:num w:numId="10" w16cid:durableId="474688357">
    <w:abstractNumId w:val="4"/>
  </w:num>
  <w:num w:numId="11" w16cid:durableId="44329733">
    <w:abstractNumId w:val="9"/>
  </w:num>
  <w:num w:numId="12" w16cid:durableId="1334840974">
    <w:abstractNumId w:val="7"/>
  </w:num>
  <w:num w:numId="13" w16cid:durableId="7015884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FF8"/>
    <w:rsid w:val="00692262"/>
    <w:rsid w:val="00AF5B23"/>
    <w:rsid w:val="00E1043C"/>
    <w:rsid w:val="00E41F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B5B2B"/>
  <w15:docId w15:val="{729B1559-E903-47F7-9E70-7F229128E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4182</Words>
  <Characters>23838</Characters>
  <Application>Microsoft Office Word</Application>
  <DocSecurity>0</DocSecurity>
  <Lines>198</Lines>
  <Paragraphs>55</Paragraphs>
  <ScaleCrop>false</ScaleCrop>
  <Company/>
  <LinksUpToDate>false</LinksUpToDate>
  <CharactersWithSpaces>27965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Arash.k</dc:creator>
  <cp:lastModifiedBy>Arash.k</cp:lastModifiedBy>
  <cp:revision>2</cp:revision>
  <dcterms:created xsi:type="dcterms:W3CDTF">2026-07-27T19:51:00Z</dcterms:created>
  <dcterms:modified xsi:type="dcterms:W3CDTF">2026-07-27T19:51:00Z</dcterms:modified>
</cp:coreProperties>
</file>