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CF14" w14:textId="0FBE262E" w:rsidR="008A3E18" w:rsidRDefault="00000000">
      <w:pPr>
        <w:pStyle w:val="Heading1"/>
      </w:pPr>
      <w:r>
        <w:t>Technical Standards, Regulatory Compliance, and Safety Protocols for Liquefied Petroleum Gas (LPG) Cylinder Management, Storage, and Transportation</w:t>
      </w:r>
      <w:r w:rsidR="00AA2E7A">
        <w:br/>
      </w:r>
      <w:r w:rsidR="00AA2E7A">
        <w:rPr>
          <w:noProof/>
        </w:rPr>
        <w:drawing>
          <wp:inline distT="0" distB="0" distL="0" distR="0" wp14:anchorId="0CCB5E66" wp14:editId="208B2587">
            <wp:extent cx="5943600" cy="3241675"/>
            <wp:effectExtent l="0" t="0" r="0" b="0"/>
            <wp:docPr id="101997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71396" name="Picture 1019971396"/>
                    <pic:cNvPicPr/>
                  </pic:nvPicPr>
                  <pic:blipFill>
                    <a:blip r:embed="rId5">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24BE1A91" w14:textId="77777777" w:rsidR="008A3E18" w:rsidRDefault="00000000">
      <w:pPr>
        <w:pStyle w:val="Heading2"/>
        <w:spacing w:before="0"/>
      </w:pPr>
      <w:r>
        <w:t>Physicochemical Properties and Thermodynamic Behavior of LPG</w:t>
      </w:r>
    </w:p>
    <w:p w14:paraId="2C0E0086" w14:textId="77777777" w:rsidR="008A3E18" w:rsidRDefault="00000000">
      <w:pPr>
        <w:pBdr>
          <w:top w:val="nil"/>
          <w:left w:val="nil"/>
          <w:bottom w:val="nil"/>
          <w:right w:val="nil"/>
          <w:between w:val="nil"/>
        </w:pBdr>
      </w:pPr>
      <w:r>
        <w:t>Liquefied Petroleum Gas (LPG) consists predominantly of propane (C_3H_8), propylene (C_3H_6), normal butane (C_4H</w:t>
      </w:r>
      <w:proofErr w:type="gramStart"/>
      <w:r>
        <w:t>_{</w:t>
      </w:r>
      <w:proofErr w:type="gramEnd"/>
      <w:r>
        <w:t xml:space="preserve">10}), isobutane, and </w:t>
      </w:r>
      <w:proofErr w:type="spellStart"/>
      <w:r>
        <w:t>butylenes</w:t>
      </w:r>
      <w:proofErr w:type="spellEnd"/>
      <w:r>
        <w:t>. Derived from natural gas processing or crude oil refining, commercial LPG formulations are C3 through C7 hydrocarbon blends characterized by boiling points ranging from approximately -40 °C to 80 °C under atmospheric pressure. When stored under moderate pressure inside dedicated containers, these gases compress into liquid form, achieving a high energy storage density through a volumetric condensation ratio of approximately 270:1 relative to their vapor phase.</w:t>
      </w:r>
    </w:p>
    <w:p w14:paraId="3036D1F9" w14:textId="77777777" w:rsidR="008A3E18" w:rsidRDefault="00000000">
      <w:pPr>
        <w:pBdr>
          <w:top w:val="nil"/>
          <w:left w:val="nil"/>
          <w:bottom w:val="nil"/>
          <w:right w:val="nil"/>
          <w:between w:val="nil"/>
        </w:pBdr>
      </w:pPr>
      <w:r>
        <w:t xml:space="preserve">Because pure LPG hydrocarbons are inherently colorless and odorless, safety mandates enforced by regulatory bodies such as the United States Occupational Safety and Health Administration (OSHA) dictate that all commercial LPG must be effectively odorized. The gas must be treated with a suitable warning agent (such as ethyl mercaptan) of sufficient potency to enable positive detection of gas leaks at atmospheric concentrations down to one-fifth (20%) of the Lower Flammability Limit (LFL). This requirement is critical because the lower flammable threshold of propane is approximately 2.1% by volume in air. Consequently, establishing facility </w:t>
      </w:r>
      <w:r>
        <w:lastRenderedPageBreak/>
        <w:t>ventilation capable of maintaining ambient concentrations below 25% of the LFL serves as the standard engineering threshold for fire prevention.</w:t>
      </w:r>
    </w:p>
    <w:p w14:paraId="42220743" w14:textId="77777777" w:rsidR="008A3E18" w:rsidRDefault="00000000">
      <w:pPr>
        <w:pBdr>
          <w:top w:val="nil"/>
          <w:left w:val="nil"/>
          <w:bottom w:val="nil"/>
          <w:right w:val="nil"/>
          <w:between w:val="nil"/>
        </w:pBdr>
        <w:spacing w:after="225"/>
      </w:pPr>
      <w:r>
        <w:t>The thermodynamic properties of LPG inside pressure vessels require strict control over internal liquid volumes. Unlike compressed permanent gases, LPG exists in a liquid-vapor phase equilibrium. Ambient temperature increases drive significant liquid expansion. To prevent containers from becoming hydrostatically full—a condition that risks shell rupture from hydraulic pressure—containers filled by volume or weight must observe maximum liquid level limits calibrated for ambient temperatures ranging between 20 °F (-6.7 °C) and 130 °F (54.4 °C).</w:t>
      </w:r>
    </w:p>
    <w:p w14:paraId="2E7D6BF5" w14:textId="77777777" w:rsidR="008A3E18" w:rsidRDefault="00000000">
      <w:pPr>
        <w:pStyle w:val="Heading2"/>
        <w:spacing w:before="0"/>
      </w:pPr>
      <w:r>
        <w:t>Tri-Regional Regulatory Architectures (United States, European Union, Japan)</w:t>
      </w:r>
    </w:p>
    <w:p w14:paraId="1CA36EF2" w14:textId="77777777" w:rsidR="008A3E18" w:rsidRDefault="00000000">
      <w:pPr>
        <w:pBdr>
          <w:top w:val="nil"/>
          <w:left w:val="nil"/>
          <w:bottom w:val="nil"/>
          <w:right w:val="nil"/>
          <w:between w:val="nil"/>
        </w:pBdr>
      </w:pPr>
      <w:r>
        <w:t>The design, maintenance, and handling of LPG pressure vessels are strictly governed by international regulatory authorities. Key jurisdictions include the United States Department of Transportation Pipeline and Hazardous Materials Safety Administration (DOT-PHMSA) alongside OSHA, the European Union under the Transportable Pressure Equipment Directive (TPED), and Japan's Ministry of Economy, Trade and Industry (METI).</w:t>
      </w:r>
    </w:p>
    <w:p w14:paraId="44E404B1" w14:textId="77777777" w:rsidR="008A3E18" w:rsidRDefault="00000000">
      <w:pPr>
        <w:pBdr>
          <w:top w:val="nil"/>
          <w:left w:val="nil"/>
          <w:bottom w:val="nil"/>
          <w:right w:val="nil"/>
          <w:between w:val="nil"/>
        </w:pBdr>
      </w:pPr>
      <w:r>
        <w:t>In the United States, pressure vessel specifications for interstate commerce fall under Title 49 of the Code of Federal Regulations (49 CFR), administered by PHMSA. Standard LPG cylinders are manufactured in accordance with DOT 4-series specifications (such as DOT 4B, 4BA, 4BW, and 4E) for welded or brazed steel and aluminum vessels, as well as DOT 3AL specifications for seamless aluminum alloy cylinders. In workplace environments, OSHA enforces 29 CFR 1910.110 ("Storage and handling of liquefied petroleum gases"), which regulates installations using DOT containers, stationary storage tanks, piping systems, vaporizers, pressure regulators, and relief valves. OSHA mandates that regulators, safety relief devices, and container assemblies be listed or approved by Nationally Recognized Testing Laboratories (NRTLs).</w:t>
      </w:r>
    </w:p>
    <w:p w14:paraId="7A94DEC7" w14:textId="77777777" w:rsidR="008A3E18" w:rsidRDefault="00000000">
      <w:pPr>
        <w:pBdr>
          <w:top w:val="nil"/>
          <w:left w:val="nil"/>
          <w:bottom w:val="nil"/>
          <w:right w:val="nil"/>
          <w:between w:val="nil"/>
        </w:pBdr>
      </w:pPr>
      <w:r>
        <w:t>Within the European Union, transportable pressure equipment is governed by Directive 2010/35/EU (TPED), which aligns with the Agreement Concerning the International Carriage of Dangerous Goods by Road (ADR). TPED establishes unified technical specifications, conformity assessment procedures, and the mandatory "Pi" marking for transportable pressure equipment, ensuring standardized safety performance across member states through Notified Body supervision.</w:t>
      </w:r>
    </w:p>
    <w:p w14:paraId="3C336863" w14:textId="77777777" w:rsidR="008A3E18" w:rsidRDefault="00000000">
      <w:pPr>
        <w:pBdr>
          <w:top w:val="nil"/>
          <w:left w:val="nil"/>
          <w:bottom w:val="nil"/>
          <w:right w:val="nil"/>
          <w:between w:val="nil"/>
        </w:pBdr>
      </w:pPr>
      <w:r>
        <w:t xml:space="preserve">In Japan, high-pressure gas containment is regulated under the </w:t>
      </w:r>
      <w:proofErr w:type="gramStart"/>
      <w:r>
        <w:t>High Pressure</w:t>
      </w:r>
      <w:proofErr w:type="gramEnd"/>
      <w:r>
        <w:t xml:space="preserve"> Gas Safety Act (Act No. 204 of 1951), overseen by METI. Detailed technical standards are set forth in the Regulation on Safety of Containers (Ministry of International Trade and Industry Order No. 50 of 1966, amended through Ministry of Economy, Trade and Industry Order No. 48 of 2021). Japanese regulations divide pressure vessels into distinct legal classifications—seamless containers, welded containers, low-temperature containers, and ultra-low-temperature containers—and mandate type approvals and manufacturing facility registrations for both domestic and foreign suppliers.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A3E18" w14:paraId="3CEF95B2" w14:textId="77777777">
        <w:trPr>
          <w:tblHeader/>
        </w:trPr>
        <w:tc>
          <w:tcPr>
            <w:tcW w:w="2340" w:type="dxa"/>
            <w:tcMar>
              <w:top w:w="0" w:type="dxa"/>
              <w:left w:w="0" w:type="dxa"/>
              <w:bottom w:w="0" w:type="dxa"/>
              <w:right w:w="0" w:type="dxa"/>
            </w:tcMar>
          </w:tcPr>
          <w:p w14:paraId="1B386D9E" w14:textId="77777777" w:rsidR="008A3E18" w:rsidRDefault="00000000">
            <w:pPr>
              <w:pBdr>
                <w:top w:val="nil"/>
                <w:left w:val="nil"/>
                <w:bottom w:val="nil"/>
                <w:right w:val="nil"/>
                <w:between w:val="nil"/>
              </w:pBdr>
            </w:pPr>
            <w:r>
              <w:t>Jurisdiction</w:t>
            </w:r>
          </w:p>
        </w:tc>
        <w:tc>
          <w:tcPr>
            <w:tcW w:w="2340" w:type="dxa"/>
            <w:tcMar>
              <w:top w:w="0" w:type="dxa"/>
              <w:left w:w="0" w:type="dxa"/>
              <w:bottom w:w="0" w:type="dxa"/>
              <w:right w:w="0" w:type="dxa"/>
            </w:tcMar>
          </w:tcPr>
          <w:p w14:paraId="5ED1FD18" w14:textId="77777777" w:rsidR="008A3E18" w:rsidRDefault="00000000">
            <w:pPr>
              <w:pBdr>
                <w:top w:val="nil"/>
                <w:left w:val="nil"/>
                <w:bottom w:val="nil"/>
                <w:right w:val="nil"/>
                <w:between w:val="nil"/>
              </w:pBdr>
            </w:pPr>
            <w:r>
              <w:t>Primary Legal Instrument</w:t>
            </w:r>
          </w:p>
        </w:tc>
        <w:tc>
          <w:tcPr>
            <w:tcW w:w="2340" w:type="dxa"/>
            <w:tcMar>
              <w:top w:w="0" w:type="dxa"/>
              <w:left w:w="0" w:type="dxa"/>
              <w:bottom w:w="0" w:type="dxa"/>
              <w:right w:w="0" w:type="dxa"/>
            </w:tcMar>
          </w:tcPr>
          <w:p w14:paraId="38E7727D" w14:textId="77777777" w:rsidR="008A3E18" w:rsidRDefault="00000000">
            <w:pPr>
              <w:pBdr>
                <w:top w:val="nil"/>
                <w:left w:val="nil"/>
                <w:bottom w:val="nil"/>
                <w:right w:val="nil"/>
                <w:between w:val="nil"/>
              </w:pBdr>
            </w:pPr>
            <w:r>
              <w:t>Governing Administrative Agency</w:t>
            </w:r>
          </w:p>
        </w:tc>
        <w:tc>
          <w:tcPr>
            <w:tcW w:w="2340" w:type="dxa"/>
            <w:tcMar>
              <w:top w:w="0" w:type="dxa"/>
              <w:left w:w="0" w:type="dxa"/>
              <w:bottom w:w="0" w:type="dxa"/>
              <w:right w:w="0" w:type="dxa"/>
            </w:tcMar>
          </w:tcPr>
          <w:p w14:paraId="221FE70D" w14:textId="77777777" w:rsidR="008A3E18" w:rsidRDefault="00000000">
            <w:pPr>
              <w:pBdr>
                <w:top w:val="nil"/>
                <w:left w:val="nil"/>
                <w:bottom w:val="nil"/>
                <w:right w:val="nil"/>
                <w:between w:val="nil"/>
              </w:pBdr>
            </w:pPr>
            <w:r>
              <w:t>Standard Scope &amp; Container Specifications</w:t>
            </w:r>
          </w:p>
        </w:tc>
      </w:tr>
      <w:tr w:rsidR="008A3E18" w14:paraId="5168839B" w14:textId="77777777">
        <w:tc>
          <w:tcPr>
            <w:tcW w:w="2340" w:type="dxa"/>
            <w:tcMar>
              <w:top w:w="0" w:type="dxa"/>
              <w:left w:w="0" w:type="dxa"/>
              <w:bottom w:w="0" w:type="dxa"/>
              <w:right w:w="0" w:type="dxa"/>
            </w:tcMar>
          </w:tcPr>
          <w:p w14:paraId="4E4E9B70" w14:textId="77777777" w:rsidR="008A3E18" w:rsidRDefault="00000000">
            <w:pPr>
              <w:pBdr>
                <w:top w:val="nil"/>
                <w:left w:val="nil"/>
                <w:bottom w:val="nil"/>
                <w:right w:val="nil"/>
                <w:between w:val="nil"/>
              </w:pBdr>
              <w:rPr>
                <w:b/>
                <w:bCs/>
              </w:rPr>
            </w:pPr>
            <w:r>
              <w:rPr>
                <w:b/>
                <w:bCs/>
              </w:rPr>
              <w:t>United States</w:t>
            </w:r>
          </w:p>
        </w:tc>
        <w:tc>
          <w:tcPr>
            <w:tcW w:w="2340" w:type="dxa"/>
            <w:tcMar>
              <w:top w:w="0" w:type="dxa"/>
              <w:left w:w="0" w:type="dxa"/>
              <w:bottom w:w="0" w:type="dxa"/>
              <w:right w:w="0" w:type="dxa"/>
            </w:tcMar>
          </w:tcPr>
          <w:p w14:paraId="38AE065B" w14:textId="77777777" w:rsidR="008A3E18" w:rsidRDefault="00000000">
            <w:pPr>
              <w:pBdr>
                <w:top w:val="nil"/>
                <w:left w:val="nil"/>
                <w:bottom w:val="nil"/>
                <w:right w:val="nil"/>
                <w:between w:val="nil"/>
              </w:pBdr>
            </w:pPr>
            <w:r>
              <w:t>29 CFR 1910.110; 49 CFR Parts 107, 171–180</w:t>
            </w:r>
          </w:p>
        </w:tc>
        <w:tc>
          <w:tcPr>
            <w:tcW w:w="2340" w:type="dxa"/>
            <w:tcMar>
              <w:top w:w="0" w:type="dxa"/>
              <w:left w:w="0" w:type="dxa"/>
              <w:bottom w:w="0" w:type="dxa"/>
              <w:right w:w="0" w:type="dxa"/>
            </w:tcMar>
          </w:tcPr>
          <w:p w14:paraId="0736B5C4" w14:textId="77777777" w:rsidR="008A3E18" w:rsidRDefault="00000000">
            <w:pPr>
              <w:pBdr>
                <w:top w:val="nil"/>
                <w:left w:val="nil"/>
                <w:bottom w:val="nil"/>
                <w:right w:val="nil"/>
                <w:between w:val="nil"/>
              </w:pBdr>
            </w:pPr>
            <w:r>
              <w:t>OSHA / US DOT (PHMSA)</w:t>
            </w:r>
          </w:p>
        </w:tc>
        <w:tc>
          <w:tcPr>
            <w:tcW w:w="2340" w:type="dxa"/>
            <w:tcMar>
              <w:top w:w="0" w:type="dxa"/>
              <w:left w:w="0" w:type="dxa"/>
              <w:bottom w:w="0" w:type="dxa"/>
              <w:right w:w="0" w:type="dxa"/>
            </w:tcMar>
          </w:tcPr>
          <w:p w14:paraId="58E7D879" w14:textId="77777777" w:rsidR="008A3E18" w:rsidRDefault="00000000">
            <w:pPr>
              <w:pBdr>
                <w:top w:val="nil"/>
                <w:left w:val="nil"/>
                <w:bottom w:val="nil"/>
                <w:right w:val="nil"/>
                <w:between w:val="nil"/>
              </w:pBdr>
            </w:pPr>
            <w:r>
              <w:t>DOT 4-series (4B, 4BA, 4BW), DOT 3AL, NRTL equipment listing, workplace handling.</w:t>
            </w:r>
          </w:p>
        </w:tc>
      </w:tr>
      <w:tr w:rsidR="008A3E18" w14:paraId="1D0A1E20" w14:textId="77777777">
        <w:tc>
          <w:tcPr>
            <w:tcW w:w="2340" w:type="dxa"/>
            <w:tcMar>
              <w:top w:w="0" w:type="dxa"/>
              <w:left w:w="0" w:type="dxa"/>
              <w:bottom w:w="0" w:type="dxa"/>
              <w:right w:w="0" w:type="dxa"/>
            </w:tcMar>
          </w:tcPr>
          <w:p w14:paraId="318DAF7F" w14:textId="77777777" w:rsidR="008A3E18" w:rsidRDefault="00000000">
            <w:pPr>
              <w:pBdr>
                <w:top w:val="nil"/>
                <w:left w:val="nil"/>
                <w:bottom w:val="nil"/>
                <w:right w:val="nil"/>
                <w:between w:val="nil"/>
              </w:pBdr>
              <w:rPr>
                <w:b/>
                <w:bCs/>
              </w:rPr>
            </w:pPr>
            <w:r>
              <w:rPr>
                <w:b/>
                <w:bCs/>
              </w:rPr>
              <w:t>European Union</w:t>
            </w:r>
          </w:p>
        </w:tc>
        <w:tc>
          <w:tcPr>
            <w:tcW w:w="2340" w:type="dxa"/>
            <w:tcMar>
              <w:top w:w="0" w:type="dxa"/>
              <w:left w:w="0" w:type="dxa"/>
              <w:bottom w:w="0" w:type="dxa"/>
              <w:right w:w="0" w:type="dxa"/>
            </w:tcMar>
          </w:tcPr>
          <w:p w14:paraId="23925AFA" w14:textId="77777777" w:rsidR="008A3E18" w:rsidRDefault="00000000">
            <w:pPr>
              <w:pBdr>
                <w:top w:val="nil"/>
                <w:left w:val="nil"/>
                <w:bottom w:val="nil"/>
                <w:right w:val="nil"/>
                <w:between w:val="nil"/>
              </w:pBdr>
            </w:pPr>
            <w:r>
              <w:t xml:space="preserve">Directive 2010/35/EU </w:t>
            </w:r>
            <w:r>
              <w:lastRenderedPageBreak/>
              <w:t>(TPED); ADR Regulations</w:t>
            </w:r>
          </w:p>
        </w:tc>
        <w:tc>
          <w:tcPr>
            <w:tcW w:w="2340" w:type="dxa"/>
            <w:tcMar>
              <w:top w:w="0" w:type="dxa"/>
              <w:left w:w="0" w:type="dxa"/>
              <w:bottom w:w="0" w:type="dxa"/>
              <w:right w:w="0" w:type="dxa"/>
            </w:tcMar>
          </w:tcPr>
          <w:p w14:paraId="40B8F95E" w14:textId="77777777" w:rsidR="008A3E18" w:rsidRDefault="00000000">
            <w:pPr>
              <w:pBdr>
                <w:top w:val="nil"/>
                <w:left w:val="nil"/>
                <w:bottom w:val="nil"/>
                <w:right w:val="nil"/>
                <w:between w:val="nil"/>
              </w:pBdr>
            </w:pPr>
            <w:r>
              <w:lastRenderedPageBreak/>
              <w:t xml:space="preserve">European Chemicals </w:t>
            </w:r>
            <w:r>
              <w:lastRenderedPageBreak/>
              <w:t>Agency (ECHA) / Notified Bodies</w:t>
            </w:r>
          </w:p>
        </w:tc>
        <w:tc>
          <w:tcPr>
            <w:tcW w:w="2340" w:type="dxa"/>
            <w:tcMar>
              <w:top w:w="0" w:type="dxa"/>
              <w:left w:w="0" w:type="dxa"/>
              <w:bottom w:w="0" w:type="dxa"/>
              <w:right w:w="0" w:type="dxa"/>
            </w:tcMar>
          </w:tcPr>
          <w:p w14:paraId="13436F1B" w14:textId="77777777" w:rsidR="008A3E18" w:rsidRDefault="00000000">
            <w:pPr>
              <w:pBdr>
                <w:top w:val="nil"/>
                <w:left w:val="nil"/>
                <w:bottom w:val="nil"/>
                <w:right w:val="nil"/>
                <w:between w:val="nil"/>
              </w:pBdr>
            </w:pPr>
            <w:r>
              <w:lastRenderedPageBreak/>
              <w:t xml:space="preserve">Harmonized </w:t>
            </w:r>
            <w:r>
              <w:lastRenderedPageBreak/>
              <w:t>transportable pressure equipment, Pi conformity marking, road/rail dangerous goods safety.</w:t>
            </w:r>
          </w:p>
        </w:tc>
      </w:tr>
      <w:tr w:rsidR="008A3E18" w14:paraId="4AD7C9CE" w14:textId="77777777">
        <w:tc>
          <w:tcPr>
            <w:tcW w:w="2340" w:type="dxa"/>
            <w:tcMar>
              <w:top w:w="0" w:type="dxa"/>
              <w:left w:w="0" w:type="dxa"/>
              <w:bottom w:w="0" w:type="dxa"/>
              <w:right w:w="0" w:type="dxa"/>
            </w:tcMar>
          </w:tcPr>
          <w:p w14:paraId="283277C2" w14:textId="77777777" w:rsidR="008A3E18" w:rsidRDefault="00000000">
            <w:pPr>
              <w:pBdr>
                <w:top w:val="nil"/>
                <w:left w:val="nil"/>
                <w:bottom w:val="nil"/>
                <w:right w:val="nil"/>
                <w:between w:val="nil"/>
              </w:pBdr>
              <w:rPr>
                <w:b/>
                <w:bCs/>
              </w:rPr>
            </w:pPr>
            <w:r>
              <w:rPr>
                <w:b/>
                <w:bCs/>
              </w:rPr>
              <w:lastRenderedPageBreak/>
              <w:t>Japan</w:t>
            </w:r>
          </w:p>
        </w:tc>
        <w:tc>
          <w:tcPr>
            <w:tcW w:w="2340" w:type="dxa"/>
            <w:tcMar>
              <w:top w:w="0" w:type="dxa"/>
              <w:left w:w="0" w:type="dxa"/>
              <w:bottom w:w="0" w:type="dxa"/>
              <w:right w:w="0" w:type="dxa"/>
            </w:tcMar>
          </w:tcPr>
          <w:p w14:paraId="332927EB" w14:textId="77777777" w:rsidR="008A3E18" w:rsidRDefault="00000000">
            <w:pPr>
              <w:pBdr>
                <w:top w:val="nil"/>
                <w:left w:val="nil"/>
                <w:bottom w:val="nil"/>
                <w:right w:val="nil"/>
                <w:between w:val="nil"/>
              </w:pBdr>
            </w:pPr>
            <w:r>
              <w:t>High Pressure Gas Safety Act (Act 204 of 1951)</w:t>
            </w:r>
          </w:p>
        </w:tc>
        <w:tc>
          <w:tcPr>
            <w:tcW w:w="2340" w:type="dxa"/>
            <w:tcMar>
              <w:top w:w="0" w:type="dxa"/>
              <w:left w:w="0" w:type="dxa"/>
              <w:bottom w:w="0" w:type="dxa"/>
              <w:right w:w="0" w:type="dxa"/>
            </w:tcMar>
          </w:tcPr>
          <w:p w14:paraId="4CED1F10" w14:textId="77777777" w:rsidR="008A3E18" w:rsidRDefault="00000000">
            <w:pPr>
              <w:pBdr>
                <w:top w:val="nil"/>
                <w:left w:val="nil"/>
                <w:bottom w:val="nil"/>
                <w:right w:val="nil"/>
                <w:between w:val="nil"/>
              </w:pBdr>
            </w:pPr>
            <w:r>
              <w:t>Ministry of Economy, Trade and Industry (METI)</w:t>
            </w:r>
          </w:p>
        </w:tc>
        <w:tc>
          <w:tcPr>
            <w:tcW w:w="2340" w:type="dxa"/>
            <w:tcMar>
              <w:top w:w="0" w:type="dxa"/>
              <w:left w:w="0" w:type="dxa"/>
              <w:bottom w:w="0" w:type="dxa"/>
              <w:right w:w="0" w:type="dxa"/>
            </w:tcMar>
          </w:tcPr>
          <w:p w14:paraId="3FCD8799" w14:textId="77777777" w:rsidR="008A3E18" w:rsidRDefault="00000000">
            <w:pPr>
              <w:pBdr>
                <w:top w:val="nil"/>
                <w:left w:val="nil"/>
                <w:bottom w:val="nil"/>
                <w:right w:val="nil"/>
                <w:between w:val="nil"/>
              </w:pBdr>
            </w:pPr>
            <w:r>
              <w:t>Regulation on Safety of Containers; seamless/welded classifications, mandatory METI registration and type approval.</w:t>
            </w:r>
          </w:p>
        </w:tc>
      </w:tr>
    </w:tbl>
    <w:p w14:paraId="5365B9C7" w14:textId="77777777" w:rsidR="008A3E18" w:rsidRDefault="00000000">
      <w:pPr>
        <w:pStyle w:val="Heading2"/>
      </w:pPr>
      <w:r>
        <w:t>Visual Inspection Protocols, Requalification Methods, and Advanced NDE Technologies</w:t>
      </w:r>
    </w:p>
    <w:p w14:paraId="0094EE40" w14:textId="77777777" w:rsidR="008A3E18" w:rsidRDefault="00000000">
      <w:pPr>
        <w:pBdr>
          <w:top w:val="nil"/>
          <w:left w:val="nil"/>
          <w:bottom w:val="nil"/>
          <w:right w:val="nil"/>
          <w:between w:val="nil"/>
        </w:pBdr>
      </w:pPr>
      <w:r>
        <w:t xml:space="preserve">Maintaining the structural integrity of LPG cylinders requires systematic visual evaluations prior to every filling operation, alongside periodic technical </w:t>
      </w:r>
      <w:proofErr w:type="spellStart"/>
      <w:r>
        <w:t>requalifications</w:t>
      </w:r>
      <w:proofErr w:type="spellEnd"/>
      <w:r>
        <w:t xml:space="preserve"> performed throughout the operational lifecycle of the container.</w:t>
      </w:r>
    </w:p>
    <w:p w14:paraId="6C84B064" w14:textId="77777777" w:rsidR="008A3E18" w:rsidRDefault="00000000">
      <w:pPr>
        <w:pBdr>
          <w:top w:val="nil"/>
          <w:left w:val="nil"/>
          <w:bottom w:val="nil"/>
          <w:right w:val="nil"/>
          <w:between w:val="nil"/>
        </w:pBdr>
      </w:pPr>
      <w:r>
        <w:t>In accordance with 49 CFR § 173.301(a)(2), all cylinders must undergo an external visual inspection before being filled. Containers exhibiting specified physical defects must be removed from service and routed to authorized facilities for repair, requalification, or condemnation. Pre-fill rejection criteria include:</w:t>
      </w:r>
    </w:p>
    <w:p w14:paraId="396FCD70" w14:textId="77777777" w:rsidR="008A3E18" w:rsidRDefault="00000000">
      <w:pPr>
        <w:numPr>
          <w:ilvl w:val="0"/>
          <w:numId w:val="1"/>
        </w:numPr>
        <w:pBdr>
          <w:top w:val="nil"/>
          <w:left w:val="nil"/>
          <w:bottom w:val="nil"/>
          <w:right w:val="nil"/>
          <w:between w:val="nil"/>
        </w:pBdr>
      </w:pPr>
      <w:r>
        <w:t>Exterior surface damage, including dents, bulges, cuts, gouges, or surface cracks affecting the cylinder shell or welded seams.</w:t>
      </w:r>
    </w:p>
    <w:p w14:paraId="1129104A" w14:textId="77777777" w:rsidR="008A3E18" w:rsidRDefault="00000000">
      <w:pPr>
        <w:numPr>
          <w:ilvl w:val="0"/>
          <w:numId w:val="1"/>
        </w:numPr>
        <w:pBdr>
          <w:top w:val="nil"/>
          <w:left w:val="nil"/>
          <w:bottom w:val="nil"/>
          <w:right w:val="nil"/>
          <w:between w:val="nil"/>
        </w:pBdr>
      </w:pPr>
      <w:r>
        <w:t>Excessive corrosion, metal loss, or deep pitting, especially concentrated around the base ring or lower cylinder head where moisture accumulates.</w:t>
      </w:r>
    </w:p>
    <w:p w14:paraId="6F62AF1C" w14:textId="77777777" w:rsidR="008A3E18" w:rsidRDefault="00000000">
      <w:pPr>
        <w:numPr>
          <w:ilvl w:val="0"/>
          <w:numId w:val="1"/>
        </w:numPr>
        <w:pBdr>
          <w:top w:val="nil"/>
          <w:left w:val="nil"/>
          <w:bottom w:val="nil"/>
          <w:right w:val="nil"/>
          <w:between w:val="nil"/>
        </w:pBdr>
      </w:pPr>
      <w:r>
        <w:t xml:space="preserve">Absence of, or structural damage to, essential protective appurtenances, such as the cylinder </w:t>
      </w:r>
      <w:proofErr w:type="spellStart"/>
      <w:r>
        <w:t>footring</w:t>
      </w:r>
      <w:proofErr w:type="spellEnd"/>
      <w:r>
        <w:t xml:space="preserve">, </w:t>
      </w:r>
      <w:proofErr w:type="spellStart"/>
      <w:r>
        <w:t>neckring</w:t>
      </w:r>
      <w:proofErr w:type="spellEnd"/>
      <w:r>
        <w:t xml:space="preserve"> (protective collar), or valve cover.</w:t>
      </w:r>
    </w:p>
    <w:p w14:paraId="37E4C945" w14:textId="77777777" w:rsidR="008A3E18" w:rsidRDefault="00000000">
      <w:pPr>
        <w:numPr>
          <w:ilvl w:val="0"/>
          <w:numId w:val="1"/>
        </w:numPr>
        <w:pBdr>
          <w:top w:val="nil"/>
          <w:left w:val="nil"/>
          <w:bottom w:val="nil"/>
          <w:right w:val="nil"/>
          <w:between w:val="nil"/>
        </w:pBdr>
      </w:pPr>
      <w:r>
        <w:t>Leaking or defective valve assemblies, damaged outlet threads, or clogged pressure relief devices.</w:t>
      </w:r>
    </w:p>
    <w:p w14:paraId="5F0A3EE5" w14:textId="77777777" w:rsidR="008A3E18" w:rsidRDefault="00000000">
      <w:pPr>
        <w:pBdr>
          <w:top w:val="nil"/>
          <w:left w:val="nil"/>
          <w:bottom w:val="nil"/>
          <w:right w:val="nil"/>
          <w:between w:val="nil"/>
        </w:pBdr>
      </w:pPr>
      <w:r>
        <w:t xml:space="preserve">Beyond pre-fill visual checks, LPG cylinders must be periodically requalified by facilities holding a valid </w:t>
      </w:r>
      <w:proofErr w:type="spellStart"/>
      <w:r>
        <w:t>Requalifier</w:t>
      </w:r>
      <w:proofErr w:type="spellEnd"/>
      <w:r>
        <w:t xml:space="preserve"> Identification Number (RIN) or Visual Identification Number (VIN) issued by regulatory authorities. Under DOT/PHMSA standards, DOT 4-series cylinders require initial requalification within 10 to 12 years of manufacture, followed by retesting at intervals of 5, 10, or 12 years depending on the test method.</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A3E18" w14:paraId="5505998F" w14:textId="77777777">
        <w:trPr>
          <w:tblHeader/>
        </w:trPr>
        <w:tc>
          <w:tcPr>
            <w:tcW w:w="2340" w:type="dxa"/>
            <w:tcMar>
              <w:top w:w="0" w:type="dxa"/>
              <w:left w:w="0" w:type="dxa"/>
              <w:bottom w:w="0" w:type="dxa"/>
              <w:right w:w="0" w:type="dxa"/>
            </w:tcMar>
          </w:tcPr>
          <w:p w14:paraId="271BC770" w14:textId="77777777" w:rsidR="008A3E18" w:rsidRDefault="00000000">
            <w:pPr>
              <w:pBdr>
                <w:top w:val="nil"/>
                <w:left w:val="nil"/>
                <w:bottom w:val="nil"/>
                <w:right w:val="nil"/>
                <w:between w:val="nil"/>
              </w:pBdr>
            </w:pPr>
            <w:r>
              <w:t>Requalification Method</w:t>
            </w:r>
          </w:p>
        </w:tc>
        <w:tc>
          <w:tcPr>
            <w:tcW w:w="2340" w:type="dxa"/>
            <w:tcMar>
              <w:top w:w="0" w:type="dxa"/>
              <w:left w:w="0" w:type="dxa"/>
              <w:bottom w:w="0" w:type="dxa"/>
              <w:right w:w="0" w:type="dxa"/>
            </w:tcMar>
          </w:tcPr>
          <w:p w14:paraId="6FBECAE8" w14:textId="77777777" w:rsidR="008A3E18" w:rsidRDefault="00000000">
            <w:pPr>
              <w:pBdr>
                <w:top w:val="nil"/>
                <w:left w:val="nil"/>
                <w:bottom w:val="nil"/>
                <w:right w:val="nil"/>
                <w:between w:val="nil"/>
              </w:pBdr>
            </w:pPr>
            <w:r>
              <w:t>Testing Procedure Summary</w:t>
            </w:r>
          </w:p>
        </w:tc>
        <w:tc>
          <w:tcPr>
            <w:tcW w:w="2340" w:type="dxa"/>
            <w:tcMar>
              <w:top w:w="0" w:type="dxa"/>
              <w:left w:w="0" w:type="dxa"/>
              <w:bottom w:w="0" w:type="dxa"/>
              <w:right w:w="0" w:type="dxa"/>
            </w:tcMar>
          </w:tcPr>
          <w:p w14:paraId="057B2178" w14:textId="77777777" w:rsidR="008A3E18" w:rsidRDefault="00000000">
            <w:pPr>
              <w:pBdr>
                <w:top w:val="nil"/>
                <w:left w:val="nil"/>
                <w:bottom w:val="nil"/>
                <w:right w:val="nil"/>
                <w:between w:val="nil"/>
              </w:pBdr>
            </w:pPr>
            <w:r>
              <w:t>Retest Interval</w:t>
            </w:r>
          </w:p>
        </w:tc>
        <w:tc>
          <w:tcPr>
            <w:tcW w:w="2340" w:type="dxa"/>
            <w:tcMar>
              <w:top w:w="0" w:type="dxa"/>
              <w:left w:w="0" w:type="dxa"/>
              <w:bottom w:w="0" w:type="dxa"/>
              <w:right w:w="0" w:type="dxa"/>
            </w:tcMar>
          </w:tcPr>
          <w:p w14:paraId="5FBF9D62" w14:textId="77777777" w:rsidR="008A3E18" w:rsidRDefault="00000000">
            <w:pPr>
              <w:pBdr>
                <w:top w:val="nil"/>
                <w:left w:val="nil"/>
                <w:bottom w:val="nil"/>
                <w:right w:val="nil"/>
                <w:between w:val="nil"/>
              </w:pBdr>
            </w:pPr>
            <w:r>
              <w:t>Marking Format (49 CFR § 180.213)</w:t>
            </w:r>
          </w:p>
        </w:tc>
      </w:tr>
      <w:tr w:rsidR="008A3E18" w14:paraId="42D057BB" w14:textId="77777777">
        <w:tc>
          <w:tcPr>
            <w:tcW w:w="2340" w:type="dxa"/>
            <w:tcMar>
              <w:top w:w="0" w:type="dxa"/>
              <w:left w:w="0" w:type="dxa"/>
              <w:bottom w:w="0" w:type="dxa"/>
              <w:right w:w="0" w:type="dxa"/>
            </w:tcMar>
          </w:tcPr>
          <w:p w14:paraId="52E0DE70" w14:textId="77777777" w:rsidR="008A3E18" w:rsidRDefault="00000000">
            <w:pPr>
              <w:pBdr>
                <w:top w:val="nil"/>
                <w:left w:val="nil"/>
                <w:bottom w:val="nil"/>
                <w:right w:val="nil"/>
                <w:between w:val="nil"/>
              </w:pBdr>
              <w:rPr>
                <w:b/>
                <w:bCs/>
              </w:rPr>
            </w:pPr>
            <w:r>
              <w:rPr>
                <w:b/>
                <w:bCs/>
              </w:rPr>
              <w:t>Volumetric Expansion (Hydrostatic)</w:t>
            </w:r>
          </w:p>
        </w:tc>
        <w:tc>
          <w:tcPr>
            <w:tcW w:w="2340" w:type="dxa"/>
            <w:tcMar>
              <w:top w:w="0" w:type="dxa"/>
              <w:left w:w="0" w:type="dxa"/>
              <w:bottom w:w="0" w:type="dxa"/>
              <w:right w:w="0" w:type="dxa"/>
            </w:tcMar>
          </w:tcPr>
          <w:p w14:paraId="17C24036" w14:textId="77777777" w:rsidR="008A3E18" w:rsidRDefault="00000000">
            <w:pPr>
              <w:pBdr>
                <w:top w:val="nil"/>
                <w:left w:val="nil"/>
                <w:bottom w:val="nil"/>
                <w:right w:val="nil"/>
                <w:between w:val="nil"/>
              </w:pBdr>
            </w:pPr>
            <w:r>
              <w:t>Vessel is jacketed in water and hydrostatically pressurized to measure total and permanent expansion.</w:t>
            </w:r>
          </w:p>
        </w:tc>
        <w:tc>
          <w:tcPr>
            <w:tcW w:w="2340" w:type="dxa"/>
            <w:tcMar>
              <w:top w:w="0" w:type="dxa"/>
              <w:left w:w="0" w:type="dxa"/>
              <w:bottom w:w="0" w:type="dxa"/>
              <w:right w:w="0" w:type="dxa"/>
            </w:tcMar>
          </w:tcPr>
          <w:p w14:paraId="12262313" w14:textId="77777777" w:rsidR="008A3E18" w:rsidRDefault="00000000">
            <w:pPr>
              <w:pBdr>
                <w:top w:val="nil"/>
                <w:left w:val="nil"/>
                <w:bottom w:val="nil"/>
                <w:right w:val="nil"/>
                <w:between w:val="nil"/>
              </w:pBdr>
            </w:pPr>
            <w:r>
              <w:t>10 Years</w:t>
            </w:r>
          </w:p>
        </w:tc>
        <w:tc>
          <w:tcPr>
            <w:tcW w:w="2340" w:type="dxa"/>
            <w:tcMar>
              <w:top w:w="0" w:type="dxa"/>
              <w:left w:w="0" w:type="dxa"/>
              <w:bottom w:w="0" w:type="dxa"/>
              <w:right w:w="0" w:type="dxa"/>
            </w:tcMar>
          </w:tcPr>
          <w:p w14:paraId="5C1C4001" w14:textId="77777777" w:rsidR="008A3E18" w:rsidRDefault="00000000">
            <w:pPr>
              <w:pBdr>
                <w:top w:val="nil"/>
                <w:left w:val="nil"/>
                <w:bottom w:val="nil"/>
                <w:right w:val="nil"/>
                <w:between w:val="nil"/>
              </w:pBdr>
            </w:pPr>
            <w:r>
              <w:t>RIN, Test Month, Test Year (e.g., A123 05 24).</w:t>
            </w:r>
          </w:p>
        </w:tc>
      </w:tr>
      <w:tr w:rsidR="008A3E18" w14:paraId="4C13A5C4" w14:textId="77777777">
        <w:tc>
          <w:tcPr>
            <w:tcW w:w="2340" w:type="dxa"/>
            <w:tcMar>
              <w:top w:w="0" w:type="dxa"/>
              <w:left w:w="0" w:type="dxa"/>
              <w:bottom w:w="0" w:type="dxa"/>
              <w:right w:w="0" w:type="dxa"/>
            </w:tcMar>
          </w:tcPr>
          <w:p w14:paraId="4DC273F4" w14:textId="77777777" w:rsidR="008A3E18" w:rsidRDefault="00000000">
            <w:pPr>
              <w:pBdr>
                <w:top w:val="nil"/>
                <w:left w:val="nil"/>
                <w:bottom w:val="nil"/>
                <w:right w:val="nil"/>
                <w:between w:val="nil"/>
              </w:pBdr>
              <w:rPr>
                <w:b/>
                <w:bCs/>
              </w:rPr>
            </w:pPr>
            <w:r>
              <w:rPr>
                <w:b/>
                <w:bCs/>
              </w:rPr>
              <w:t>Proof-Pressure Testing</w:t>
            </w:r>
          </w:p>
        </w:tc>
        <w:tc>
          <w:tcPr>
            <w:tcW w:w="2340" w:type="dxa"/>
            <w:tcMar>
              <w:top w:w="0" w:type="dxa"/>
              <w:left w:w="0" w:type="dxa"/>
              <w:bottom w:w="0" w:type="dxa"/>
              <w:right w:w="0" w:type="dxa"/>
            </w:tcMar>
          </w:tcPr>
          <w:p w14:paraId="37E73B5F" w14:textId="77777777" w:rsidR="008A3E18" w:rsidRDefault="00000000">
            <w:pPr>
              <w:pBdr>
                <w:top w:val="nil"/>
                <w:left w:val="nil"/>
                <w:bottom w:val="nil"/>
                <w:right w:val="nil"/>
                <w:between w:val="nil"/>
              </w:pBdr>
            </w:pPr>
            <w:r>
              <w:t xml:space="preserve">Vessel is subjected to internal proof pressure </w:t>
            </w:r>
            <w:r>
              <w:lastRenderedPageBreak/>
              <w:t>without measuring volumetric expansion.</w:t>
            </w:r>
          </w:p>
        </w:tc>
        <w:tc>
          <w:tcPr>
            <w:tcW w:w="2340" w:type="dxa"/>
            <w:tcMar>
              <w:top w:w="0" w:type="dxa"/>
              <w:left w:w="0" w:type="dxa"/>
              <w:bottom w:w="0" w:type="dxa"/>
              <w:right w:w="0" w:type="dxa"/>
            </w:tcMar>
          </w:tcPr>
          <w:p w14:paraId="3CDD7C49" w14:textId="77777777" w:rsidR="008A3E18" w:rsidRDefault="00000000">
            <w:pPr>
              <w:pBdr>
                <w:top w:val="nil"/>
                <w:left w:val="nil"/>
                <w:bottom w:val="nil"/>
                <w:right w:val="nil"/>
                <w:between w:val="nil"/>
              </w:pBdr>
            </w:pPr>
            <w:r>
              <w:lastRenderedPageBreak/>
              <w:t>10 Years</w:t>
            </w:r>
          </w:p>
        </w:tc>
        <w:tc>
          <w:tcPr>
            <w:tcW w:w="2340" w:type="dxa"/>
            <w:tcMar>
              <w:top w:w="0" w:type="dxa"/>
              <w:left w:w="0" w:type="dxa"/>
              <w:bottom w:w="0" w:type="dxa"/>
              <w:right w:w="0" w:type="dxa"/>
            </w:tcMar>
          </w:tcPr>
          <w:p w14:paraId="17F5CF05" w14:textId="77777777" w:rsidR="008A3E18" w:rsidRDefault="00000000">
            <w:pPr>
              <w:pBdr>
                <w:top w:val="nil"/>
                <w:left w:val="nil"/>
                <w:bottom w:val="nil"/>
                <w:right w:val="nil"/>
                <w:between w:val="nil"/>
              </w:pBdr>
            </w:pPr>
            <w:r>
              <w:t>RIN, Test Month, Test Year, followed by "</w:t>
            </w:r>
            <w:r>
              <w:rPr>
                <w:b/>
                <w:bCs/>
              </w:rPr>
              <w:t>S</w:t>
            </w:r>
            <w:r>
              <w:t>".</w:t>
            </w:r>
          </w:p>
        </w:tc>
      </w:tr>
      <w:tr w:rsidR="008A3E18" w14:paraId="50DA2818" w14:textId="77777777">
        <w:tc>
          <w:tcPr>
            <w:tcW w:w="2340" w:type="dxa"/>
            <w:tcMar>
              <w:top w:w="0" w:type="dxa"/>
              <w:left w:w="0" w:type="dxa"/>
              <w:bottom w:w="0" w:type="dxa"/>
              <w:right w:w="0" w:type="dxa"/>
            </w:tcMar>
          </w:tcPr>
          <w:p w14:paraId="28CB3DD3" w14:textId="77777777" w:rsidR="008A3E18" w:rsidRDefault="00000000">
            <w:pPr>
              <w:pBdr>
                <w:top w:val="nil"/>
                <w:left w:val="nil"/>
                <w:bottom w:val="nil"/>
                <w:right w:val="nil"/>
                <w:between w:val="nil"/>
              </w:pBdr>
              <w:rPr>
                <w:b/>
                <w:bCs/>
              </w:rPr>
            </w:pPr>
            <w:r>
              <w:rPr>
                <w:b/>
                <w:bCs/>
              </w:rPr>
              <w:t>External Visual Inspection</w:t>
            </w:r>
          </w:p>
        </w:tc>
        <w:tc>
          <w:tcPr>
            <w:tcW w:w="2340" w:type="dxa"/>
            <w:tcMar>
              <w:top w:w="0" w:type="dxa"/>
              <w:left w:w="0" w:type="dxa"/>
              <w:bottom w:w="0" w:type="dxa"/>
              <w:right w:w="0" w:type="dxa"/>
            </w:tcMar>
          </w:tcPr>
          <w:p w14:paraId="180F9787" w14:textId="77777777" w:rsidR="008A3E18" w:rsidRDefault="00000000">
            <w:pPr>
              <w:pBdr>
                <w:top w:val="nil"/>
                <w:left w:val="nil"/>
                <w:bottom w:val="nil"/>
                <w:right w:val="nil"/>
                <w:between w:val="nil"/>
              </w:pBdr>
            </w:pPr>
            <w:r>
              <w:t>Complete internal and external visual evaluation conducted strictly under CGA Pamphlet C-6 guidelines.</w:t>
            </w:r>
          </w:p>
        </w:tc>
        <w:tc>
          <w:tcPr>
            <w:tcW w:w="2340" w:type="dxa"/>
            <w:tcMar>
              <w:top w:w="0" w:type="dxa"/>
              <w:left w:w="0" w:type="dxa"/>
              <w:bottom w:w="0" w:type="dxa"/>
              <w:right w:w="0" w:type="dxa"/>
            </w:tcMar>
          </w:tcPr>
          <w:p w14:paraId="2934E1A6" w14:textId="77777777" w:rsidR="008A3E18" w:rsidRDefault="00000000">
            <w:pPr>
              <w:pBdr>
                <w:top w:val="nil"/>
                <w:left w:val="nil"/>
                <w:bottom w:val="nil"/>
                <w:right w:val="nil"/>
                <w:between w:val="nil"/>
              </w:pBdr>
            </w:pPr>
            <w:r>
              <w:t>5 Years</w:t>
            </w:r>
          </w:p>
        </w:tc>
        <w:tc>
          <w:tcPr>
            <w:tcW w:w="2340" w:type="dxa"/>
            <w:tcMar>
              <w:top w:w="0" w:type="dxa"/>
              <w:left w:w="0" w:type="dxa"/>
              <w:bottom w:w="0" w:type="dxa"/>
              <w:right w:w="0" w:type="dxa"/>
            </w:tcMar>
          </w:tcPr>
          <w:p w14:paraId="6CC15B58" w14:textId="77777777" w:rsidR="008A3E18" w:rsidRDefault="00000000">
            <w:pPr>
              <w:pBdr>
                <w:top w:val="nil"/>
                <w:left w:val="nil"/>
                <w:bottom w:val="nil"/>
                <w:right w:val="nil"/>
                <w:between w:val="nil"/>
              </w:pBdr>
            </w:pPr>
            <w:r>
              <w:t>RIN/VIN, Test Month, Test Year, followed by "</w:t>
            </w:r>
            <w:r>
              <w:rPr>
                <w:b/>
                <w:bCs/>
              </w:rPr>
              <w:t>E</w:t>
            </w:r>
            <w:r>
              <w:t>".</w:t>
            </w:r>
          </w:p>
        </w:tc>
      </w:tr>
    </w:tbl>
    <w:p w14:paraId="5C40F490" w14:textId="77777777" w:rsidR="008A3E18" w:rsidRDefault="00000000">
      <w:pPr>
        <w:pBdr>
          <w:top w:val="nil"/>
          <w:left w:val="nil"/>
          <w:bottom w:val="nil"/>
          <w:right w:val="nil"/>
          <w:between w:val="nil"/>
        </w:pBdr>
        <w:spacing w:after="225"/>
      </w:pPr>
      <w:r>
        <w:t>Advanced Non-Destructive Examination (NDE) techniques are increasingly supplementing traditional hydrostatic methods. Research conducted by PHMSA and the U.S. Navy highlights the utility of Modal Acoustic Emission (MAE) testing and Ultrasonic Examination (UE) for evaluating composite (DOT-CFFC) and aluminum (DOT 3AL) vessels. MAE employs high-frequency acoustic sensors to detect stress wave emissions generated by micro-structural dislocations, fiber breakage, or sub-surface cracking during controlled pressurization. Unlike hydrostatic expansion, which measures overall deformation, MAE identifies localized defects without over-stressing the vessel shell.</w:t>
      </w:r>
    </w:p>
    <w:p w14:paraId="42F31BF8" w14:textId="77777777" w:rsidR="008A3E18" w:rsidRDefault="00000000">
      <w:pPr>
        <w:pStyle w:val="Heading2"/>
        <w:spacing w:before="0"/>
      </w:pPr>
      <w:r>
        <w:t>Operational Protocols for Refueling, Transfer Venting, and Static Control</w:t>
      </w:r>
    </w:p>
    <w:p w14:paraId="0384C2E7" w14:textId="77777777" w:rsidR="008A3E18" w:rsidRDefault="00000000">
      <w:pPr>
        <w:pBdr>
          <w:top w:val="nil"/>
          <w:left w:val="nil"/>
          <w:bottom w:val="nil"/>
          <w:right w:val="nil"/>
          <w:between w:val="nil"/>
        </w:pBdr>
      </w:pPr>
      <w:r>
        <w:t>Transferring LPG from bulk storage into mobile cylinders presents distinct operational risks due to potential vapor release and static ignition. Liquid transfer operations must utilize accurate mass measurement (weighing scales) or fixed liquid level indicators to prevent overfilling.</w:t>
      </w:r>
    </w:p>
    <w:p w14:paraId="1735C82D" w14:textId="77777777" w:rsidR="008A3E18" w:rsidRDefault="00000000">
      <w:pPr>
        <w:pBdr>
          <w:top w:val="nil"/>
          <w:left w:val="nil"/>
          <w:bottom w:val="nil"/>
          <w:right w:val="nil"/>
          <w:between w:val="nil"/>
        </w:pBdr>
      </w:pPr>
      <w:r>
        <w:t>When filling industrial truck cylinders, liquid level gages (dip tubes) are occasionally vented to signal maximum liquid fill height. OSHA standard 29 CFR 1910.110(b)(14)(iv) and Directive STD 01-05-016 establish strict conditions under which atmospheric venting during transfer is permitted:</w:t>
      </w:r>
    </w:p>
    <w:p w14:paraId="054D18EE" w14:textId="77777777" w:rsidR="008A3E18" w:rsidRDefault="00000000">
      <w:pPr>
        <w:numPr>
          <w:ilvl w:val="0"/>
          <w:numId w:val="2"/>
        </w:numPr>
        <w:pBdr>
          <w:top w:val="nil"/>
          <w:left w:val="nil"/>
          <w:bottom w:val="nil"/>
          <w:right w:val="nil"/>
          <w:between w:val="nil"/>
        </w:pBdr>
      </w:pPr>
      <w:r>
        <w:t>Vented gas discharge must be limited to the maximum flow capacity provided by a No. 54 drill size orifice.</w:t>
      </w:r>
    </w:p>
    <w:p w14:paraId="79C206DF" w14:textId="77777777" w:rsidR="008A3E18" w:rsidRDefault="00000000">
      <w:pPr>
        <w:numPr>
          <w:ilvl w:val="0"/>
          <w:numId w:val="2"/>
        </w:numPr>
        <w:pBdr>
          <w:top w:val="nil"/>
          <w:left w:val="nil"/>
          <w:bottom w:val="nil"/>
          <w:right w:val="nil"/>
          <w:between w:val="nil"/>
        </w:pBdr>
      </w:pPr>
      <w:r>
        <w:t>The filling operation must take place entirely outdoors, located at least 10 feet from masonry structures, at least 25 feet from non-masonry buildings or construction, and at least 25 feet from any unsealed building opening.</w:t>
      </w:r>
    </w:p>
    <w:p w14:paraId="238EA3DB" w14:textId="77777777" w:rsidR="008A3E18" w:rsidRDefault="00000000">
      <w:pPr>
        <w:numPr>
          <w:ilvl w:val="0"/>
          <w:numId w:val="2"/>
        </w:numPr>
        <w:pBdr>
          <w:top w:val="nil"/>
          <w:left w:val="nil"/>
          <w:bottom w:val="nil"/>
          <w:right w:val="nil"/>
          <w:between w:val="nil"/>
        </w:pBdr>
      </w:pPr>
      <w:r>
        <w:t>The vehicle engine must be turned off, and the driver must vacate the truck cab during refueling.</w:t>
      </w:r>
    </w:p>
    <w:p w14:paraId="3230D25D" w14:textId="77777777" w:rsidR="008A3E18" w:rsidRDefault="00000000">
      <w:pPr>
        <w:numPr>
          <w:ilvl w:val="0"/>
          <w:numId w:val="2"/>
        </w:numPr>
        <w:pBdr>
          <w:top w:val="nil"/>
          <w:left w:val="nil"/>
          <w:bottom w:val="nil"/>
          <w:right w:val="nil"/>
          <w:between w:val="nil"/>
        </w:pBdr>
      </w:pPr>
      <w:r>
        <w:t>Liquid transfer operations must be conducted exclusively by trained and authorized personnel.</w:t>
      </w:r>
    </w:p>
    <w:p w14:paraId="16031068" w14:textId="77777777" w:rsidR="008A3E18" w:rsidRDefault="00000000">
      <w:pPr>
        <w:numPr>
          <w:ilvl w:val="0"/>
          <w:numId w:val="2"/>
        </w:numPr>
        <w:pBdr>
          <w:top w:val="nil"/>
          <w:left w:val="nil"/>
          <w:bottom w:val="nil"/>
          <w:right w:val="nil"/>
          <w:between w:val="nil"/>
        </w:pBdr>
      </w:pPr>
      <w:r>
        <w:t>Passenger-carrying vehicles must never undergo refueling while passengers remain on board.</w:t>
      </w:r>
    </w:p>
    <w:p w14:paraId="0E99185C" w14:textId="77777777" w:rsidR="008A3E18" w:rsidRDefault="00000000">
      <w:pPr>
        <w:pBdr>
          <w:top w:val="nil"/>
          <w:left w:val="nil"/>
          <w:bottom w:val="nil"/>
          <w:right w:val="nil"/>
          <w:between w:val="nil"/>
        </w:pBdr>
        <w:spacing w:after="225"/>
      </w:pPr>
      <w:r>
        <w:t>Because LPG vapors are heavier than air (propane vapor density is approximately 1.5 relative to dry air), released gas sinks and accumulates in low-lying areas, unventilated trenches, or pits. Operational areas must incorporate electrical grounding and bonding to mitigate static charge generation during hose handling. All fixed electrical installations within liquid transfer zones must meet Class I, Group D explosion-proof standards.</w:t>
      </w:r>
    </w:p>
    <w:p w14:paraId="22484C34" w14:textId="77777777" w:rsidR="008A3E18" w:rsidRDefault="00000000">
      <w:pPr>
        <w:pStyle w:val="Heading2"/>
        <w:spacing w:before="0"/>
      </w:pPr>
      <w:r>
        <w:t>Facility Architectural Design and Environmental Storage Safety</w:t>
      </w:r>
    </w:p>
    <w:p w14:paraId="4AA02501" w14:textId="77777777" w:rsidR="008A3E18" w:rsidRDefault="00000000">
      <w:pPr>
        <w:pBdr>
          <w:top w:val="nil"/>
          <w:left w:val="nil"/>
          <w:bottom w:val="nil"/>
          <w:right w:val="nil"/>
          <w:between w:val="nil"/>
        </w:pBdr>
      </w:pPr>
      <w:r>
        <w:lastRenderedPageBreak/>
        <w:t>To prevent thermal escalation during industrial fires, indoor and outdoor storage of LPG cylinders is governed by aggregate capacity limits, physical separation distances, and fire-resistant construction requirements.</w:t>
      </w:r>
    </w:p>
    <w:p w14:paraId="7CB88774" w14:textId="77777777" w:rsidR="008A3E18" w:rsidRDefault="00000000">
      <w:pPr>
        <w:pBdr>
          <w:top w:val="nil"/>
          <w:left w:val="nil"/>
          <w:bottom w:val="nil"/>
          <w:right w:val="nil"/>
          <w:between w:val="nil"/>
        </w:pBdr>
      </w:pPr>
      <w:r>
        <w:t>Under OSHA 29 CFR 1910.110(f)(4)(</w:t>
      </w:r>
      <w:proofErr w:type="spellStart"/>
      <w:r>
        <w:t>i</w:t>
      </w:r>
      <w:proofErr w:type="spellEnd"/>
      <w:r>
        <w:t xml:space="preserve">), the aggregate quantity of LPG stored inside standard industrial buildings not frequented by the public is restricted to a maximum of </w:t>
      </w:r>
      <w:r>
        <w:rPr>
          <w:b/>
          <w:bCs/>
        </w:rPr>
        <w:t>300 pounds</w:t>
      </w:r>
      <w:r>
        <w:t xml:space="preserve"> (approximately 2,550 cubic feet of gas in vapor form).</w:t>
      </w:r>
    </w:p>
    <w:p w14:paraId="4E316327" w14:textId="77777777" w:rsidR="008A3E18" w:rsidRDefault="00000000">
      <w:pPr>
        <w:pBdr>
          <w:top w:val="nil"/>
          <w:left w:val="nil"/>
          <w:bottom w:val="nil"/>
          <w:right w:val="nil"/>
          <w:between w:val="nil"/>
        </w:pBdr>
      </w:pPr>
      <w:r>
        <w:t xml:space="preserve">When facility requirements necessitate indoor storage exceeding 300 pounds—up to a maximum allowable limit of </w:t>
      </w:r>
      <w:r>
        <w:rPr>
          <w:b/>
          <w:bCs/>
        </w:rPr>
        <w:t>10,000 pounds</w:t>
      </w:r>
      <w:r>
        <w:t>—containers must be housed inside dedicated storage rooms or structures designed in compliance with 29 CFR 1910.110(f)(5).</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A3E18" w14:paraId="6E86E1A2" w14:textId="77777777">
        <w:trPr>
          <w:tblHeader/>
        </w:trPr>
        <w:tc>
          <w:tcPr>
            <w:tcW w:w="3120" w:type="dxa"/>
            <w:tcMar>
              <w:top w:w="0" w:type="dxa"/>
              <w:left w:w="0" w:type="dxa"/>
              <w:bottom w:w="0" w:type="dxa"/>
              <w:right w:w="0" w:type="dxa"/>
            </w:tcMar>
          </w:tcPr>
          <w:p w14:paraId="57B5AC4D" w14:textId="77777777" w:rsidR="008A3E18" w:rsidRDefault="00000000">
            <w:pPr>
              <w:pBdr>
                <w:top w:val="nil"/>
                <w:left w:val="nil"/>
                <w:bottom w:val="nil"/>
                <w:right w:val="nil"/>
                <w:between w:val="nil"/>
              </w:pBdr>
            </w:pPr>
            <w:r>
              <w:t>Architectural Feature</w:t>
            </w:r>
          </w:p>
        </w:tc>
        <w:tc>
          <w:tcPr>
            <w:tcW w:w="3120" w:type="dxa"/>
            <w:tcMar>
              <w:top w:w="0" w:type="dxa"/>
              <w:left w:w="0" w:type="dxa"/>
              <w:bottom w:w="0" w:type="dxa"/>
              <w:right w:w="0" w:type="dxa"/>
            </w:tcMar>
          </w:tcPr>
          <w:p w14:paraId="6F9FFDB5" w14:textId="77777777" w:rsidR="008A3E18" w:rsidRDefault="00000000">
            <w:pPr>
              <w:pBdr>
                <w:top w:val="nil"/>
                <w:left w:val="nil"/>
                <w:bottom w:val="nil"/>
                <w:right w:val="nil"/>
                <w:between w:val="nil"/>
              </w:pBdr>
            </w:pPr>
            <w:r>
              <w:t>Technical Engineering Requirement</w:t>
            </w:r>
          </w:p>
        </w:tc>
        <w:tc>
          <w:tcPr>
            <w:tcW w:w="3120" w:type="dxa"/>
            <w:tcMar>
              <w:top w:w="0" w:type="dxa"/>
              <w:left w:w="0" w:type="dxa"/>
              <w:bottom w:w="0" w:type="dxa"/>
              <w:right w:w="0" w:type="dxa"/>
            </w:tcMar>
          </w:tcPr>
          <w:p w14:paraId="67D4ECA2" w14:textId="77777777" w:rsidR="008A3E18" w:rsidRDefault="00000000">
            <w:pPr>
              <w:pBdr>
                <w:top w:val="nil"/>
                <w:left w:val="nil"/>
                <w:bottom w:val="nil"/>
                <w:right w:val="nil"/>
                <w:between w:val="nil"/>
              </w:pBdr>
            </w:pPr>
            <w:r>
              <w:t>Fire &amp; Safety Objective</w:t>
            </w:r>
          </w:p>
        </w:tc>
      </w:tr>
      <w:tr w:rsidR="008A3E18" w14:paraId="5B51388E" w14:textId="77777777">
        <w:tc>
          <w:tcPr>
            <w:tcW w:w="3120" w:type="dxa"/>
            <w:tcMar>
              <w:top w:w="0" w:type="dxa"/>
              <w:left w:w="0" w:type="dxa"/>
              <w:bottom w:w="0" w:type="dxa"/>
              <w:right w:w="0" w:type="dxa"/>
            </w:tcMar>
          </w:tcPr>
          <w:p w14:paraId="478AFB70" w14:textId="77777777" w:rsidR="008A3E18" w:rsidRDefault="00000000">
            <w:pPr>
              <w:pBdr>
                <w:top w:val="nil"/>
                <w:left w:val="nil"/>
                <w:bottom w:val="nil"/>
                <w:right w:val="nil"/>
                <w:between w:val="nil"/>
              </w:pBdr>
              <w:rPr>
                <w:b/>
                <w:bCs/>
              </w:rPr>
            </w:pPr>
            <w:r>
              <w:rPr>
                <w:b/>
                <w:bCs/>
              </w:rPr>
              <w:t>Wall, Floor &amp; Ceiling Fire Rating</w:t>
            </w:r>
          </w:p>
        </w:tc>
        <w:tc>
          <w:tcPr>
            <w:tcW w:w="3120" w:type="dxa"/>
            <w:tcMar>
              <w:top w:w="0" w:type="dxa"/>
              <w:left w:w="0" w:type="dxa"/>
              <w:bottom w:w="0" w:type="dxa"/>
              <w:right w:w="0" w:type="dxa"/>
            </w:tcMar>
          </w:tcPr>
          <w:p w14:paraId="39DCCDA2" w14:textId="77777777" w:rsidR="008A3E18" w:rsidRDefault="00000000">
            <w:pPr>
              <w:pBdr>
                <w:top w:val="nil"/>
                <w:left w:val="nil"/>
                <w:bottom w:val="nil"/>
                <w:right w:val="nil"/>
                <w:between w:val="nil"/>
              </w:pBdr>
            </w:pPr>
            <w:r>
              <w:t>Minimum 2-hour fire-resistance construction for partition walls separating the room from other building sections.</w:t>
            </w:r>
          </w:p>
        </w:tc>
        <w:tc>
          <w:tcPr>
            <w:tcW w:w="3120" w:type="dxa"/>
            <w:tcMar>
              <w:top w:w="0" w:type="dxa"/>
              <w:left w:w="0" w:type="dxa"/>
              <w:bottom w:w="0" w:type="dxa"/>
              <w:right w:w="0" w:type="dxa"/>
            </w:tcMar>
          </w:tcPr>
          <w:p w14:paraId="66C98070" w14:textId="77777777" w:rsidR="008A3E18" w:rsidRDefault="00000000">
            <w:pPr>
              <w:pBdr>
                <w:top w:val="nil"/>
                <w:left w:val="nil"/>
                <w:bottom w:val="nil"/>
                <w:right w:val="nil"/>
                <w:between w:val="nil"/>
              </w:pBdr>
            </w:pPr>
            <w:r>
              <w:t>Prevents fire spread between the storage enclosure and adjacent industrial spaces.</w:t>
            </w:r>
          </w:p>
        </w:tc>
      </w:tr>
      <w:tr w:rsidR="008A3E18" w14:paraId="2B8D268C" w14:textId="77777777">
        <w:tc>
          <w:tcPr>
            <w:tcW w:w="3120" w:type="dxa"/>
            <w:tcMar>
              <w:top w:w="0" w:type="dxa"/>
              <w:left w:w="0" w:type="dxa"/>
              <w:bottom w:w="0" w:type="dxa"/>
              <w:right w:w="0" w:type="dxa"/>
            </w:tcMar>
          </w:tcPr>
          <w:p w14:paraId="55F380B1" w14:textId="77777777" w:rsidR="008A3E18" w:rsidRDefault="00000000">
            <w:pPr>
              <w:pBdr>
                <w:top w:val="nil"/>
                <w:left w:val="nil"/>
                <w:bottom w:val="nil"/>
                <w:right w:val="nil"/>
                <w:between w:val="nil"/>
              </w:pBdr>
              <w:rPr>
                <w:b/>
                <w:bCs/>
              </w:rPr>
            </w:pPr>
            <w:r>
              <w:rPr>
                <w:b/>
                <w:bCs/>
              </w:rPr>
              <w:t>Internal Access Doors</w:t>
            </w:r>
          </w:p>
        </w:tc>
        <w:tc>
          <w:tcPr>
            <w:tcW w:w="3120" w:type="dxa"/>
            <w:tcMar>
              <w:top w:w="0" w:type="dxa"/>
              <w:left w:w="0" w:type="dxa"/>
              <w:bottom w:w="0" w:type="dxa"/>
              <w:right w:w="0" w:type="dxa"/>
            </w:tcMar>
          </w:tcPr>
          <w:p w14:paraId="799CEFB9" w14:textId="77777777" w:rsidR="008A3E18" w:rsidRDefault="00000000">
            <w:pPr>
              <w:pBdr>
                <w:top w:val="nil"/>
                <w:left w:val="nil"/>
                <w:bottom w:val="nil"/>
                <w:right w:val="nil"/>
                <w:between w:val="nil"/>
              </w:pBdr>
            </w:pPr>
            <w:r>
              <w:t>Listed 1.5-hour (Class B) self-closing fire door assemblies.</w:t>
            </w:r>
          </w:p>
        </w:tc>
        <w:tc>
          <w:tcPr>
            <w:tcW w:w="3120" w:type="dxa"/>
            <w:tcMar>
              <w:top w:w="0" w:type="dxa"/>
              <w:left w:w="0" w:type="dxa"/>
              <w:bottom w:w="0" w:type="dxa"/>
              <w:right w:w="0" w:type="dxa"/>
            </w:tcMar>
          </w:tcPr>
          <w:p w14:paraId="14A57BDA" w14:textId="77777777" w:rsidR="008A3E18" w:rsidRDefault="00000000">
            <w:pPr>
              <w:pBdr>
                <w:top w:val="nil"/>
                <w:left w:val="nil"/>
                <w:bottom w:val="nil"/>
                <w:right w:val="nil"/>
                <w:between w:val="nil"/>
              </w:pBdr>
            </w:pPr>
            <w:r>
              <w:t>Maintains fire barrier integrity at structural openings.</w:t>
            </w:r>
          </w:p>
        </w:tc>
      </w:tr>
      <w:tr w:rsidR="008A3E18" w14:paraId="3313FAA1" w14:textId="77777777">
        <w:tc>
          <w:tcPr>
            <w:tcW w:w="3120" w:type="dxa"/>
            <w:tcMar>
              <w:top w:w="0" w:type="dxa"/>
              <w:left w:w="0" w:type="dxa"/>
              <w:bottom w:w="0" w:type="dxa"/>
              <w:right w:w="0" w:type="dxa"/>
            </w:tcMar>
          </w:tcPr>
          <w:p w14:paraId="610CA638" w14:textId="77777777" w:rsidR="008A3E18" w:rsidRDefault="00000000">
            <w:pPr>
              <w:pBdr>
                <w:top w:val="nil"/>
                <w:left w:val="nil"/>
                <w:bottom w:val="nil"/>
                <w:right w:val="nil"/>
                <w:between w:val="nil"/>
              </w:pBdr>
              <w:rPr>
                <w:b/>
                <w:bCs/>
              </w:rPr>
            </w:pPr>
            <w:r>
              <w:rPr>
                <w:b/>
                <w:bCs/>
              </w:rPr>
              <w:t>Explosion Pressure Relief</w:t>
            </w:r>
          </w:p>
        </w:tc>
        <w:tc>
          <w:tcPr>
            <w:tcW w:w="3120" w:type="dxa"/>
            <w:tcMar>
              <w:top w:w="0" w:type="dxa"/>
              <w:left w:w="0" w:type="dxa"/>
              <w:bottom w:w="0" w:type="dxa"/>
              <w:right w:w="0" w:type="dxa"/>
            </w:tcMar>
          </w:tcPr>
          <w:p w14:paraId="3D51989F" w14:textId="77777777" w:rsidR="008A3E18" w:rsidRDefault="00000000">
            <w:pPr>
              <w:pBdr>
                <w:top w:val="nil"/>
                <w:left w:val="nil"/>
                <w:bottom w:val="nil"/>
                <w:right w:val="nil"/>
                <w:between w:val="nil"/>
              </w:pBdr>
            </w:pPr>
            <w:r>
              <w:t>Exterior walls or roof panels equaling at least 10% of the combined enclosure wall/roof area constructed of explosion-relieving materials.</w:t>
            </w:r>
          </w:p>
        </w:tc>
        <w:tc>
          <w:tcPr>
            <w:tcW w:w="3120" w:type="dxa"/>
            <w:tcMar>
              <w:top w:w="0" w:type="dxa"/>
              <w:left w:w="0" w:type="dxa"/>
              <w:bottom w:w="0" w:type="dxa"/>
              <w:right w:w="0" w:type="dxa"/>
            </w:tcMar>
          </w:tcPr>
          <w:p w14:paraId="7E58E346" w14:textId="77777777" w:rsidR="008A3E18" w:rsidRDefault="00000000">
            <w:pPr>
              <w:pBdr>
                <w:top w:val="nil"/>
                <w:left w:val="nil"/>
                <w:bottom w:val="nil"/>
                <w:right w:val="nil"/>
                <w:between w:val="nil"/>
              </w:pBdr>
            </w:pPr>
            <w:r>
              <w:t>Vents blast energy outward and upward to prevent structural collapse.</w:t>
            </w:r>
          </w:p>
        </w:tc>
      </w:tr>
      <w:tr w:rsidR="008A3E18" w14:paraId="05DBD2AF" w14:textId="77777777">
        <w:tc>
          <w:tcPr>
            <w:tcW w:w="3120" w:type="dxa"/>
            <w:tcMar>
              <w:top w:w="0" w:type="dxa"/>
              <w:left w:w="0" w:type="dxa"/>
              <w:bottom w:w="0" w:type="dxa"/>
              <w:right w:w="0" w:type="dxa"/>
            </w:tcMar>
          </w:tcPr>
          <w:p w14:paraId="2082B241" w14:textId="77777777" w:rsidR="008A3E18" w:rsidRDefault="00000000">
            <w:pPr>
              <w:pBdr>
                <w:top w:val="nil"/>
                <w:left w:val="nil"/>
                <w:bottom w:val="nil"/>
                <w:right w:val="nil"/>
                <w:between w:val="nil"/>
              </w:pBdr>
              <w:rPr>
                <w:b/>
                <w:bCs/>
              </w:rPr>
            </w:pPr>
            <w:r>
              <w:rPr>
                <w:b/>
                <w:bCs/>
              </w:rPr>
              <w:t>Room Ventilation</w:t>
            </w:r>
          </w:p>
        </w:tc>
        <w:tc>
          <w:tcPr>
            <w:tcW w:w="3120" w:type="dxa"/>
            <w:tcMar>
              <w:top w:w="0" w:type="dxa"/>
              <w:left w:w="0" w:type="dxa"/>
              <w:bottom w:w="0" w:type="dxa"/>
              <w:right w:w="0" w:type="dxa"/>
            </w:tcMar>
          </w:tcPr>
          <w:p w14:paraId="50FD3131" w14:textId="77777777" w:rsidR="008A3E18" w:rsidRDefault="00000000">
            <w:pPr>
              <w:pBdr>
                <w:top w:val="nil"/>
                <w:left w:val="nil"/>
                <w:bottom w:val="nil"/>
                <w:right w:val="nil"/>
                <w:between w:val="nil"/>
              </w:pBdr>
            </w:pPr>
            <w:r>
              <w:t>Continuous natural or mechanical top-and-bottom ventilation directly to the outside; vents spaced \</w:t>
            </w:r>
            <w:proofErr w:type="spellStart"/>
            <w:r>
              <w:t>ge</w:t>
            </w:r>
            <w:proofErr w:type="spellEnd"/>
            <w:r>
              <w:t xml:space="preserve"> 5 ft from building openings.</w:t>
            </w:r>
          </w:p>
        </w:tc>
        <w:tc>
          <w:tcPr>
            <w:tcW w:w="3120" w:type="dxa"/>
            <w:tcMar>
              <w:top w:w="0" w:type="dxa"/>
              <w:left w:w="0" w:type="dxa"/>
              <w:bottom w:w="0" w:type="dxa"/>
              <w:right w:w="0" w:type="dxa"/>
            </w:tcMar>
          </w:tcPr>
          <w:p w14:paraId="1C550CE1" w14:textId="77777777" w:rsidR="008A3E18" w:rsidRDefault="00000000">
            <w:pPr>
              <w:pBdr>
                <w:top w:val="nil"/>
                <w:left w:val="nil"/>
                <w:bottom w:val="nil"/>
                <w:right w:val="nil"/>
                <w:between w:val="nil"/>
              </w:pBdr>
            </w:pPr>
            <w:r>
              <w:t>Prevents accumulation of heavy hydrocarbon vapors near floor levels.</w:t>
            </w:r>
          </w:p>
        </w:tc>
      </w:tr>
      <w:tr w:rsidR="008A3E18" w14:paraId="7669CB0E" w14:textId="77777777">
        <w:tc>
          <w:tcPr>
            <w:tcW w:w="3120" w:type="dxa"/>
            <w:tcMar>
              <w:top w:w="0" w:type="dxa"/>
              <w:left w:w="0" w:type="dxa"/>
              <w:bottom w:w="0" w:type="dxa"/>
              <w:right w:w="0" w:type="dxa"/>
            </w:tcMar>
          </w:tcPr>
          <w:p w14:paraId="5D2E26DD" w14:textId="77777777" w:rsidR="008A3E18" w:rsidRDefault="00000000">
            <w:pPr>
              <w:pBdr>
                <w:top w:val="nil"/>
                <w:left w:val="nil"/>
                <w:bottom w:val="nil"/>
                <w:right w:val="nil"/>
                <w:between w:val="nil"/>
              </w:pBdr>
              <w:rPr>
                <w:b/>
                <w:bCs/>
              </w:rPr>
            </w:pPr>
            <w:r>
              <w:rPr>
                <w:b/>
                <w:bCs/>
              </w:rPr>
              <w:t>Sub-Floor Engineering</w:t>
            </w:r>
          </w:p>
        </w:tc>
        <w:tc>
          <w:tcPr>
            <w:tcW w:w="3120" w:type="dxa"/>
            <w:tcMar>
              <w:top w:w="0" w:type="dxa"/>
              <w:left w:w="0" w:type="dxa"/>
              <w:bottom w:w="0" w:type="dxa"/>
              <w:right w:w="0" w:type="dxa"/>
            </w:tcMar>
          </w:tcPr>
          <w:p w14:paraId="4E95DB54" w14:textId="77777777" w:rsidR="008A3E18" w:rsidRDefault="00000000">
            <w:pPr>
              <w:pBdr>
                <w:top w:val="nil"/>
                <w:left w:val="nil"/>
                <w:bottom w:val="nil"/>
                <w:right w:val="nil"/>
                <w:between w:val="nil"/>
              </w:pBdr>
            </w:pPr>
            <w:r>
              <w:t>Floor surfaces resting directly on solid fill or ground; storage below ground level or in basements is strictly prohibited.</w:t>
            </w:r>
          </w:p>
        </w:tc>
        <w:tc>
          <w:tcPr>
            <w:tcW w:w="3120" w:type="dxa"/>
            <w:tcMar>
              <w:top w:w="0" w:type="dxa"/>
              <w:left w:w="0" w:type="dxa"/>
              <w:bottom w:w="0" w:type="dxa"/>
              <w:right w:w="0" w:type="dxa"/>
            </w:tcMar>
          </w:tcPr>
          <w:p w14:paraId="660C06B2" w14:textId="77777777" w:rsidR="008A3E18" w:rsidRDefault="00000000">
            <w:pPr>
              <w:pBdr>
                <w:top w:val="nil"/>
                <w:left w:val="nil"/>
                <w:bottom w:val="nil"/>
                <w:right w:val="nil"/>
                <w:between w:val="nil"/>
              </w:pBdr>
            </w:pPr>
            <w:r>
              <w:t>Eliminates vapor pooling in below-grade spaces.</w:t>
            </w:r>
          </w:p>
        </w:tc>
      </w:tr>
      <w:tr w:rsidR="008A3E18" w14:paraId="764436F8" w14:textId="77777777">
        <w:tc>
          <w:tcPr>
            <w:tcW w:w="3120" w:type="dxa"/>
            <w:tcMar>
              <w:top w:w="0" w:type="dxa"/>
              <w:left w:w="0" w:type="dxa"/>
              <w:bottom w:w="0" w:type="dxa"/>
              <w:right w:w="0" w:type="dxa"/>
            </w:tcMar>
          </w:tcPr>
          <w:p w14:paraId="539FC39B" w14:textId="77777777" w:rsidR="008A3E18" w:rsidRDefault="00000000">
            <w:pPr>
              <w:pBdr>
                <w:top w:val="nil"/>
                <w:left w:val="nil"/>
                <w:bottom w:val="nil"/>
                <w:right w:val="nil"/>
                <w:between w:val="nil"/>
              </w:pBdr>
              <w:rPr>
                <w:b/>
                <w:bCs/>
              </w:rPr>
            </w:pPr>
            <w:r>
              <w:rPr>
                <w:b/>
                <w:bCs/>
              </w:rPr>
              <w:t>Proximity Limitations</w:t>
            </w:r>
          </w:p>
        </w:tc>
        <w:tc>
          <w:tcPr>
            <w:tcW w:w="3120" w:type="dxa"/>
            <w:tcMar>
              <w:top w:w="0" w:type="dxa"/>
              <w:left w:w="0" w:type="dxa"/>
              <w:bottom w:w="0" w:type="dxa"/>
              <w:right w:w="0" w:type="dxa"/>
            </w:tcMar>
          </w:tcPr>
          <w:p w14:paraId="33200453" w14:textId="77777777" w:rsidR="008A3E18" w:rsidRDefault="00000000">
            <w:pPr>
              <w:pBdr>
                <w:top w:val="nil"/>
                <w:left w:val="nil"/>
                <w:bottom w:val="nil"/>
                <w:right w:val="nil"/>
                <w:between w:val="nil"/>
              </w:pBdr>
            </w:pPr>
            <w:r>
              <w:t>Enclosures must not adjoin property lines of schools, hospitals, churches, or public gathering locations.</w:t>
            </w:r>
          </w:p>
        </w:tc>
        <w:tc>
          <w:tcPr>
            <w:tcW w:w="3120" w:type="dxa"/>
            <w:tcMar>
              <w:top w:w="0" w:type="dxa"/>
              <w:left w:w="0" w:type="dxa"/>
              <w:bottom w:w="0" w:type="dxa"/>
              <w:right w:w="0" w:type="dxa"/>
            </w:tcMar>
          </w:tcPr>
          <w:p w14:paraId="6E52B705" w14:textId="77777777" w:rsidR="008A3E18" w:rsidRDefault="00000000">
            <w:pPr>
              <w:pBdr>
                <w:top w:val="nil"/>
                <w:left w:val="nil"/>
                <w:bottom w:val="nil"/>
                <w:right w:val="nil"/>
                <w:between w:val="nil"/>
              </w:pBdr>
            </w:pPr>
            <w:r>
              <w:t>Isolates high-risk storage from high-occupancy public areas.</w:t>
            </w:r>
          </w:p>
        </w:tc>
      </w:tr>
    </w:tbl>
    <w:p w14:paraId="31FDC78C" w14:textId="77777777" w:rsidR="008A3E18" w:rsidRDefault="00000000">
      <w:pPr>
        <w:pBdr>
          <w:top w:val="nil"/>
          <w:left w:val="nil"/>
          <w:bottom w:val="nil"/>
          <w:right w:val="nil"/>
          <w:between w:val="nil"/>
        </w:pBdr>
        <w:spacing w:after="225"/>
      </w:pPr>
      <w:r>
        <w:t>Outdoor cylinder storage locations must maintain clearance distances from "important buildings," property lines, and ignition sources. OSHA defines an "important building" as any structure where personnel could be exposed to fire or blast hazards during an emergency. In accordance with OSHA Table H-23 and NFPA 58 provisions, required separation clearances scale from 5 feet for small storage arrays up to 50 feet or more as aggregate container volume increases.</w:t>
      </w:r>
    </w:p>
    <w:p w14:paraId="6FDD1EA6" w14:textId="77777777" w:rsidR="008A3E18" w:rsidRDefault="00000000">
      <w:pPr>
        <w:pStyle w:val="Heading2"/>
        <w:spacing w:before="0"/>
      </w:pPr>
      <w:r>
        <w:t>Transportation Dynamics, Vehicle Mounting, and Transit Safety</w:t>
      </w:r>
    </w:p>
    <w:p w14:paraId="10EDA983" w14:textId="77777777" w:rsidR="008A3E18" w:rsidRDefault="00000000">
      <w:pPr>
        <w:pBdr>
          <w:top w:val="nil"/>
          <w:left w:val="nil"/>
          <w:bottom w:val="nil"/>
          <w:right w:val="nil"/>
          <w:between w:val="nil"/>
        </w:pBdr>
      </w:pPr>
      <w:r>
        <w:t>Securing LPG containers on commercial transport vehicles, utility trucks, and industrial lift trucks requires specialized mounting and physical protections to withstand collision forces and thermal exposure.</w:t>
      </w:r>
    </w:p>
    <w:p w14:paraId="088CCCF4" w14:textId="77777777" w:rsidR="008A3E18" w:rsidRDefault="00000000">
      <w:pPr>
        <w:pBdr>
          <w:top w:val="nil"/>
          <w:left w:val="nil"/>
          <w:bottom w:val="nil"/>
          <w:right w:val="nil"/>
          <w:between w:val="nil"/>
        </w:pBdr>
      </w:pPr>
      <w:r>
        <w:t>Under OSHA 29 CFR 1910.110(e)(4)(</w:t>
      </w:r>
      <w:proofErr w:type="spellStart"/>
      <w:r>
        <w:t>i</w:t>
      </w:r>
      <w:proofErr w:type="spellEnd"/>
      <w:r>
        <w:t xml:space="preserve">) and DOT transit rules, key structural requirements for </w:t>
      </w:r>
      <w:r>
        <w:lastRenderedPageBreak/>
        <w:t>vehicle-mounted LPG containers include:</w:t>
      </w:r>
    </w:p>
    <w:p w14:paraId="1C9F4F43" w14:textId="77777777" w:rsidR="008A3E18" w:rsidRDefault="00000000">
      <w:pPr>
        <w:numPr>
          <w:ilvl w:val="0"/>
          <w:numId w:val="3"/>
        </w:numPr>
        <w:pBdr>
          <w:top w:val="nil"/>
          <w:left w:val="nil"/>
          <w:bottom w:val="nil"/>
          <w:right w:val="nil"/>
          <w:between w:val="nil"/>
        </w:pBdr>
      </w:pPr>
      <w:r>
        <w:t>Rear-mounted containers on trucks or buses must be positioned behind structural steel bumpers designed to absorb rear-impact forces.</w:t>
      </w:r>
    </w:p>
    <w:p w14:paraId="26B06DAC" w14:textId="77777777" w:rsidR="008A3E18" w:rsidRDefault="00000000">
      <w:pPr>
        <w:numPr>
          <w:ilvl w:val="0"/>
          <w:numId w:val="3"/>
        </w:numPr>
        <w:pBdr>
          <w:top w:val="nil"/>
          <w:left w:val="nil"/>
          <w:bottom w:val="nil"/>
          <w:right w:val="nil"/>
          <w:between w:val="nil"/>
        </w:pBdr>
      </w:pPr>
      <w:r>
        <w:t>Fuel containers installed on passenger-carrying vehicles must be isolated from driver cab spaces, passenger compartments, and radio equipment bays, with the container enclosure vented directly to the outside.</w:t>
      </w:r>
    </w:p>
    <w:p w14:paraId="596C1907" w14:textId="77777777" w:rsidR="008A3E18" w:rsidRDefault="00000000">
      <w:pPr>
        <w:numPr>
          <w:ilvl w:val="0"/>
          <w:numId w:val="3"/>
        </w:numPr>
        <w:pBdr>
          <w:top w:val="nil"/>
          <w:left w:val="nil"/>
          <w:bottom w:val="nil"/>
          <w:right w:val="nil"/>
          <w:between w:val="nil"/>
        </w:pBdr>
      </w:pPr>
      <w:r>
        <w:t>Containers positioned near engines or exhaust pipes must be equipped with metallic heat shields to block direct thermal radiation.</w:t>
      </w:r>
    </w:p>
    <w:p w14:paraId="23090E91" w14:textId="77777777" w:rsidR="008A3E18" w:rsidRDefault="00000000">
      <w:pPr>
        <w:numPr>
          <w:ilvl w:val="0"/>
          <w:numId w:val="3"/>
        </w:numPr>
        <w:pBdr>
          <w:top w:val="nil"/>
          <w:left w:val="nil"/>
          <w:bottom w:val="nil"/>
          <w:right w:val="nil"/>
          <w:between w:val="nil"/>
        </w:pBdr>
      </w:pPr>
      <w:r>
        <w:t>Portable containers carried in cargo beds must be secured in an upright position using non-sparking straps or cradles to keep the container pressure relief valve continuously in communication with the vapor space. Horizontal transport is restricted to avoid liquid discharge through relief valves during over-pressure events.</w:t>
      </w:r>
    </w:p>
    <w:p w14:paraId="2D808F2B" w14:textId="77777777" w:rsidR="008A3E18" w:rsidRDefault="00000000">
      <w:pPr>
        <w:pBdr>
          <w:top w:val="nil"/>
          <w:left w:val="nil"/>
          <w:bottom w:val="nil"/>
          <w:right w:val="nil"/>
          <w:between w:val="nil"/>
        </w:pBdr>
        <w:spacing w:after="225"/>
      </w:pPr>
      <w:r>
        <w:t>For non-highway agricultural equipment—such as movable fuel tenders and farm carts—individual container capacity is capped at 1,200 gallons water capacity. When driven over public roads, these farm tenders must follow speed restrictions, use safety chains, and display standard dangerous goods transport markings.</w:t>
      </w:r>
    </w:p>
    <w:p w14:paraId="38012AD4" w14:textId="77777777" w:rsidR="008A3E18" w:rsidRDefault="00000000">
      <w:pPr>
        <w:pStyle w:val="Heading2"/>
        <w:spacing w:before="0"/>
      </w:pPr>
      <w:r>
        <w:t>Synthesis and Strategic Recommendations</w:t>
      </w:r>
    </w:p>
    <w:p w14:paraId="1FD4E86D" w14:textId="77777777" w:rsidR="008A3E18" w:rsidRDefault="00000000">
      <w:pPr>
        <w:pBdr>
          <w:top w:val="nil"/>
          <w:left w:val="nil"/>
          <w:bottom w:val="nil"/>
          <w:right w:val="nil"/>
          <w:between w:val="nil"/>
        </w:pBdr>
      </w:pPr>
      <w:r>
        <w:t>Maintaining safe LPG cylinder operations across industrial, commercial, and transport environments requires an integrated approach to regulatory compliance, facility maintenance, and technical testing:</w:t>
      </w:r>
    </w:p>
    <w:p w14:paraId="45E5562B" w14:textId="77777777" w:rsidR="008A3E18" w:rsidRDefault="00000000">
      <w:pPr>
        <w:numPr>
          <w:ilvl w:val="0"/>
          <w:numId w:val="4"/>
        </w:numPr>
        <w:pBdr>
          <w:top w:val="nil"/>
          <w:left w:val="nil"/>
          <w:bottom w:val="nil"/>
          <w:right w:val="nil"/>
          <w:between w:val="nil"/>
        </w:pBdr>
      </w:pPr>
      <w:r>
        <w:rPr>
          <w:b/>
          <w:bCs/>
        </w:rPr>
        <w:t>Implement Pre-Fill Inspection Workflows</w:t>
      </w:r>
      <w:r>
        <w:t>: Establish systematic visual inspection procedures compliant with 49 CFR § 173.301(a)(2) and CGA Pamphlet C-6, ensuring that damaged, corroded, or overdue cylinders are rejected prior to filling.</w:t>
      </w:r>
    </w:p>
    <w:p w14:paraId="0A278EC9" w14:textId="77777777" w:rsidR="008A3E18" w:rsidRDefault="00000000">
      <w:pPr>
        <w:numPr>
          <w:ilvl w:val="0"/>
          <w:numId w:val="4"/>
        </w:numPr>
        <w:pBdr>
          <w:top w:val="nil"/>
          <w:left w:val="nil"/>
          <w:bottom w:val="nil"/>
          <w:right w:val="nil"/>
          <w:between w:val="nil"/>
        </w:pBdr>
      </w:pPr>
      <w:r>
        <w:rPr>
          <w:b/>
          <w:bCs/>
        </w:rPr>
        <w:t>Modernize Cylinder Testing Technologies</w:t>
      </w:r>
      <w:r>
        <w:t>: Incorporate advanced NDE methods—such as Modal Acoustic Emission (MAE) and Ultrasonic Examination (UE)—for composite and aluminum cylinder fleets to detect sub-surface structural defects without inducing unnecessary hydrostatic stress.</w:t>
      </w:r>
    </w:p>
    <w:p w14:paraId="2A9D5C5C" w14:textId="77777777" w:rsidR="008A3E18" w:rsidRDefault="00000000">
      <w:pPr>
        <w:numPr>
          <w:ilvl w:val="0"/>
          <w:numId w:val="4"/>
        </w:numPr>
        <w:pBdr>
          <w:top w:val="nil"/>
          <w:left w:val="nil"/>
          <w:bottom w:val="nil"/>
          <w:right w:val="nil"/>
          <w:between w:val="nil"/>
        </w:pBdr>
      </w:pPr>
      <w:r>
        <w:rPr>
          <w:b/>
          <w:bCs/>
        </w:rPr>
        <w:t>Upgrade Indoor Storage Facilities</w:t>
      </w:r>
      <w:r>
        <w:t>: Ensure indoor cylinder storage exceeding 300 pounds complies with the structural requirements of 29 CFR 1910.110(f)(5), including 2-hour fire-rated partitions, 10% explosion-relieving relief area, and continuous exterior ventilation.</w:t>
      </w:r>
    </w:p>
    <w:p w14:paraId="71ECF6C2" w14:textId="77777777" w:rsidR="008A3E18" w:rsidRDefault="00000000">
      <w:pPr>
        <w:numPr>
          <w:ilvl w:val="0"/>
          <w:numId w:val="4"/>
        </w:numPr>
        <w:pBdr>
          <w:top w:val="nil"/>
          <w:left w:val="nil"/>
          <w:bottom w:val="nil"/>
          <w:right w:val="nil"/>
          <w:between w:val="nil"/>
        </w:pBdr>
      </w:pPr>
      <w:r>
        <w:rPr>
          <w:b/>
          <w:bCs/>
        </w:rPr>
        <w:t>Enforce Refueling Procedures</w:t>
      </w:r>
      <w:r>
        <w:t>: Require strict adherence to outdoor liquid transfer distances, engine shut-down rules, and orifice size limits during cylinder exchanges and industrial truck refueling.</w:t>
      </w:r>
    </w:p>
    <w:p w14:paraId="2AC3594E" w14:textId="77777777" w:rsidR="008A3E18" w:rsidRDefault="00000000">
      <w:pPr>
        <w:numPr>
          <w:ilvl w:val="0"/>
          <w:numId w:val="4"/>
        </w:numPr>
        <w:pBdr>
          <w:top w:val="nil"/>
          <w:left w:val="nil"/>
          <w:bottom w:val="nil"/>
          <w:right w:val="nil"/>
          <w:between w:val="nil"/>
        </w:pBdr>
      </w:pPr>
      <w:r>
        <w:rPr>
          <w:b/>
          <w:bCs/>
        </w:rPr>
        <w:t>Secure Transit Logistics</w:t>
      </w:r>
      <w:r>
        <w:t>: Inspect transport securement systems regularly to ensure containers remain upright, shielded from heat sources, and protected by heavy bumpers during transport.</w:t>
      </w:r>
    </w:p>
    <w:p w14:paraId="2345BD4F" w14:textId="77777777" w:rsidR="008A3E18" w:rsidRDefault="00000000">
      <w:pPr>
        <w:pStyle w:val="Heading4"/>
      </w:pPr>
      <w:r>
        <w:t>Works cited</w:t>
      </w:r>
    </w:p>
    <w:p w14:paraId="457C4D7A" w14:textId="77777777" w:rsidR="008A3E18" w:rsidRDefault="00000000">
      <w:pPr>
        <w:pBdr>
          <w:top w:val="nil"/>
          <w:left w:val="nil"/>
          <w:bottom w:val="nil"/>
          <w:right w:val="nil"/>
          <w:between w:val="nil"/>
        </w:pBdr>
      </w:pPr>
      <w:r>
        <w:t xml:space="preserve">1. 1910.110 - Storage and handling of liquefied petroleum gases. | Occupational Safety and Health Administration, https://www.osha.gov/laws-regs/regulations/standardnumber/1910/1910.110_2 2. Substances - ECHA CHEM, https://chem.echa.europa.eu/substance-search?searchText=LPG 3. Storage and Handling of Liquefied Petroleum Gas | Occupational Safety and Health Administration, https://www.osha.gov/laws-regs/standardinterpretations/2013-04-04 4. Cylinder Advisory - PHMSA - Department of Transportation, https://www.phmsa.dot.gov/cylinderadvisory 5. Requalification Guidance for Propane Cylinders - PHMSA, </w:t>
      </w:r>
      <w:r>
        <w:lastRenderedPageBreak/>
        <w:t xml:space="preserve">https://www.phmsa.dot.gov/sites/phmsa.dot.gov/files/docs/propane_en_v3.pdf 6. Consolidated TEXT: 32010L0035 — EN — 30.05.2026 - EUR-Lex, https://eur-lex.europa.eu/legal-content/EN/TXT/HTML/?uri=CELEX:02010L0035-20260530 7. Regulation on Safety of Containers - English - Japanese Law Translation, https://www.japaneselawtranslation.go.jp/en/laws/view/3453/en 8. High Pressure Gas Safety Act - English - Japanese Law Translation, https://www.japaneselawtranslation.go.jp/en/laws/view/4555/en 9. IS YOUR CYLINDER SAFE TO FILL? - Pipeline and Hazardous Materials Safety Administration, https://www.phmsa.dot.gov/sites/phmsa.dot.gov/files/2023-03/Is-Your-Cylinder-Safe-to-Fill-PHH50-0201-0323.pdf 10. Cylinder </w:t>
      </w:r>
      <w:proofErr w:type="spellStart"/>
      <w:r>
        <w:t>Requalifiers</w:t>
      </w:r>
      <w:proofErr w:type="spellEnd"/>
      <w:r>
        <w:t xml:space="preserve"> - PHMSA - Department of Transportation, https://www.phmsa.dot.gov/hazmat/pressure-vessels-approvals/cylinder-requalifiers 11. Self-Contained Breathing Apparatus (SCBA) Cylinder Life-Extension Study - PHMSA, https://www.phmsa.dot.gov/sites/phmsa.dot.gov/files/docs/technical-resources/55976/navy-self-contained-breathing-apparatus-scba-composite-cylinder-life-extension-research-project.pdf 12. Self-Contained Breathing Apparatus (SCBA) Composite Cylinder Environmental Exposure Effects on DOT-CFFC Cylinders with Modal Acoustic Emission Examination | PHMSA, https://www.phmsa.dot.gov/technical-resources/hazmat-technical-resources/self-contained-breathing-apparatus-scba-composite-cylinder-environmental-exposure-effects-on-dot-cffc-cylinders-with-modal-acoustic-emission-examination 13. Venting LP-Gas to the Atmosphere | Occupational Safety and Health Administration, https://www.osha.gov/enforcement/directives/std-01-05-016 14. 1910.110(b)(6) | OSHA.gov | Occupational Safety and Health Administration, https://www.osha.gov/taxonomy/term/30457 15. Separation of LPG containers from "important buildings" in 1910.110 | Occupational Safety and Health Administration, https://www.osha.gov/laws-regs/standardinterpretations/1991-04-10 16. Letters of Interpretation - Interlinking | Occupational Safety and Health Administration, https://www.osha.gov/laws-regs/interlinking/standards/1910.110(b)(6)/standard_interpretations</w:t>
      </w:r>
    </w:p>
    <w:sectPr w:rsidR="008A3E1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AF9EDD1-9068-4208-988D-070F86366B4C}"/>
  </w:font>
  <w:font w:name="Calibri">
    <w:panose1 w:val="020F0502020204030204"/>
    <w:charset w:val="00"/>
    <w:family w:val="swiss"/>
    <w:pitch w:val="variable"/>
    <w:sig w:usb0="E4002EFF" w:usb1="C200247B" w:usb2="00000009" w:usb3="00000000" w:csb0="000001FF" w:csb1="00000000"/>
    <w:embedRegular r:id="rId2" w:fontKey="{4ACA86C6-582E-4B7A-B2CA-64C78AAE48BE}"/>
  </w:font>
  <w:font w:name="Cambria">
    <w:panose1 w:val="02040503050406030204"/>
    <w:charset w:val="00"/>
    <w:family w:val="roman"/>
    <w:pitch w:val="variable"/>
    <w:sig w:usb0="E00006FF" w:usb1="420024FF" w:usb2="02000000" w:usb3="00000000" w:csb0="0000019F" w:csb1="00000000"/>
    <w:embedRegular r:id="rId3" w:fontKey="{E3A80FC9-CAB3-4E98-83A2-3F117EF7D8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4673"/>
    <w:multiLevelType w:val="multilevel"/>
    <w:tmpl w:val="8640B0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F337374"/>
    <w:multiLevelType w:val="multilevel"/>
    <w:tmpl w:val="D2546A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D9E468F"/>
    <w:multiLevelType w:val="multilevel"/>
    <w:tmpl w:val="51C2DA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C1408DC"/>
    <w:multiLevelType w:val="multilevel"/>
    <w:tmpl w:val="41B4101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8377340">
    <w:abstractNumId w:val="0"/>
  </w:num>
  <w:num w:numId="2" w16cid:durableId="1877234316">
    <w:abstractNumId w:val="2"/>
  </w:num>
  <w:num w:numId="3" w16cid:durableId="1695035054">
    <w:abstractNumId w:val="1"/>
  </w:num>
  <w:num w:numId="4" w16cid:durableId="1902444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E18"/>
    <w:rsid w:val="008A3E18"/>
    <w:rsid w:val="00AA2E7A"/>
    <w:rsid w:val="00E1043C"/>
    <w:rsid w:val="00F960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87BF5"/>
  <w15:docId w15:val="{729B1559-E903-47F7-9E70-7F229128E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2703</Words>
  <Characters>15413</Characters>
  <Application>Microsoft Office Word</Application>
  <DocSecurity>0</DocSecurity>
  <Lines>128</Lines>
  <Paragraphs>36</Paragraphs>
  <ScaleCrop>false</ScaleCrop>
  <Company/>
  <LinksUpToDate>false</LinksUpToDate>
  <CharactersWithSpaces>18080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Arash.k</dc:creator>
  <cp:lastModifiedBy>Arash.k</cp:lastModifiedBy>
  <cp:revision>2</cp:revision>
  <dcterms:created xsi:type="dcterms:W3CDTF">2026-07-27T19:49:00Z</dcterms:created>
  <dcterms:modified xsi:type="dcterms:W3CDTF">2026-07-27T19:49:00Z</dcterms:modified>
</cp:coreProperties>
</file>