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pPr>
      <w:r>
        <w:rPr>
          <w:rFonts w:ascii="Helvetica Neue" w:cs="Helvetica Neue" w:eastAsia="Helvetica Neue" w:hAnsi="Helvetica Neue"/>
          <w:b/>
          <w:bCs/>
          <w:color w:val="5A6660"/>
          <w:spacing w:val="26"/>
          <w:sz w:val="16"/>
          <w:szCs w:val="16"/>
        </w:rPr>
        <w:t xml:space="preserve">BRUCE YAZDANI, LLC</w:t>
      </w:r>
    </w:p>
    <w:p>
      <w:pPr>
        <w:spacing w:after="30"/>
      </w:pPr>
      <w:r>
        <w:rPr>
          <w:rFonts w:ascii="Helvetica Neue" w:cs="Helvetica Neue" w:eastAsia="Helvetica Neue" w:hAnsi="Helvetica Neue"/>
          <w:b/>
          <w:bCs/>
          <w:color w:val="1A211D"/>
          <w:sz w:val="30"/>
          <w:szCs w:val="30"/>
        </w:rPr>
        <w:t xml:space="preserve">Things Waiting on Your Signature</w:t>
      </w:r>
    </w:p>
    <w:p>
      <w:pPr>
        <w:pBdr>
          <w:bottom w:val="single" w:color="C9CFC9" w:sz="4"/>
        </w:pBdr>
        <w:spacing w:after="160"/>
      </w:pPr>
      <w:r>
        <w:rPr>
          <w:rFonts w:ascii="Helvetica Neue" w:cs="Helvetica Neue" w:eastAsia="Helvetica Neue" w:hAnsi="Helvetica Neue"/>
          <w:color w:val="5A6660"/>
          <w:sz w:val="16"/>
          <w:szCs w:val="16"/>
        </w:rPr>
        <w:t xml:space="preserve">July 20, 2026 — five items, none urgent, nothing will move on them until you say go</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560"/>
        <w:gridCol w:w="9600"/>
      </w:tblGrid>
      <w:tr>
        <w:tc>
          <w:tcPr>
            <w:tcW w:type="dxa" w:w="560"/>
            <w:tcBorders>
              <w:top w:val="none" w:color="FFFFFF" w:sz="0"/>
              <w:left w:val="none" w:color="FFFFFF" w:sz="0"/>
              <w:bottom w:val="none" w:color="FFFFFF" w:sz="0"/>
              <w:right w:val="none" w:color="FFFFFF" w:sz="0"/>
            </w:tcBorders>
            <w:tcMar>
              <w:top w:type="dxa" w:w="100"/>
              <w:right w:type="dxa" w:w="120"/>
            </w:tcMar>
            <w:vAlign w:val="top"/>
          </w:tcPr>
          <w:p>
            <w:r>
              <w:rPr>
                <w:rFonts w:ascii="Helvetica Neue" w:cs="Helvetica Neue" w:eastAsia="Helvetica Neue" w:hAnsi="Helvetica Neue"/>
                <w:b/>
                <w:bCs/>
                <w:color w:val="2E7D5B"/>
                <w:sz w:val="26"/>
                <w:szCs w:val="26"/>
              </w:rPr>
              <w:t xml:space="preserve">1</w:t>
            </w:r>
          </w:p>
        </w:tc>
        <w:tc>
          <w:tcPr>
            <w:tcW w:type="dxa" w:w="9600"/>
            <w:tcBorders>
              <w:top w:val="none" w:color="FFFFFF" w:sz="0"/>
              <w:left w:val="none" w:color="FFFFFF" w:sz="0"/>
              <w:bottom w:val="none" w:color="FFFFFF" w:sz="0"/>
              <w:right w:val="none" w:color="FFFFFF" w:sz="0"/>
            </w:tcBorders>
            <w:vAlign w:val="top"/>
          </w:tcPr>
          <w:p>
            <w:pPr>
              <w:spacing w:after="40"/>
            </w:pPr>
            <w:r>
              <w:rPr>
                <w:rFonts w:ascii="Helvetica Neue" w:cs="Helvetica Neue" w:eastAsia="Helvetica Neue" w:hAnsi="Helvetica Neue"/>
                <w:b/>
                <w:bCs/>
                <w:color w:val="1A211D"/>
                <w:sz w:val="21"/>
                <w:szCs w:val="21"/>
              </w:rPr>
              <w:t xml:space="preserve">The project charter</w:t>
            </w:r>
          </w:p>
          <w:p>
            <w:pPr>
              <w:spacing w:after="50"/>
            </w:pPr>
            <w:r>
              <w:rPr>
                <w:rFonts w:ascii="Helvetica Neue" w:cs="Helvetica Neue" w:eastAsia="Helvetica Neue" w:hAnsi="Helvetica Neue"/>
                <w:color w:val="1A211D"/>
                <w:sz w:val="18"/>
                <w:szCs w:val="18"/>
              </w:rPr>
              <w:t xml:space="preserve">This is the master agreement for the whole project — what it does, what it costs (nothing), and what it won't do (give investment advice). Read it and sign the last page.</w:t>
            </w:r>
          </w:p>
          <w:p>
            <w:pPr>
              <w:spacing w:after="30"/>
            </w:pPr>
            <w:r>
              <w:rPr>
                <w:rFonts w:ascii="Helvetica Neue" w:cs="Helvetica Neue" w:eastAsia="Helvetica Neue" w:hAnsi="Helvetica Neue"/>
                <w:b/>
                <w:bCs/>
                <w:i/>
                <w:iCs/>
                <w:color w:val="5A6660"/>
                <w:sz w:val="17"/>
                <w:szCs w:val="17"/>
              </w:rPr>
              <w:t xml:space="preserve">Why: </w:t>
            </w:r>
            <w:r>
              <w:rPr>
                <w:rFonts w:ascii="Helvetica Neue" w:cs="Helvetica Neue" w:eastAsia="Helvetica Neue" w:hAnsi="Helvetica Neue"/>
                <w:i/>
                <w:iCs/>
                <w:color w:val="5A6660"/>
                <w:sz w:val="17"/>
                <w:szCs w:val="17"/>
              </w:rPr>
              <w:t xml:space="preserve">Everything else on this list is a change to something the charter covers, so it comes first.</w:t>
            </w:r>
          </w:p>
          <w:p>
            <w:r>
              <w:rPr>
                <w:rFonts w:ascii="Helvetica Neue" w:cs="Helvetica Neue" w:eastAsia="Helvetica Neue" w:hAnsi="Helvetica Neue"/>
                <w:b/>
                <w:bCs/>
                <w:color w:val="5A6660"/>
                <w:sz w:val="16"/>
                <w:szCs w:val="16"/>
              </w:rPr>
              <w:t xml:space="preserve">File: </w:t>
            </w:r>
            <w:r>
              <w:rPr>
                <w:rFonts w:ascii="Helvetica Neue" w:cs="Helvetica Neue" w:eastAsia="Helvetica Neue" w:hAnsi="Helvetica Neue"/>
                <w:color w:val="5A6660"/>
                <w:sz w:val="16"/>
                <w:szCs w:val="16"/>
              </w:rPr>
              <w:t xml:space="preserve">Project-Charter-2026-07-17-Rev3.docx</w:t>
            </w:r>
          </w:p>
        </w:tc>
      </w:tr>
    </w:tbl>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560"/>
        <w:gridCol w:w="9600"/>
      </w:tblGrid>
      <w:tr>
        <w:tc>
          <w:tcPr>
            <w:tcW w:type="dxa" w:w="560"/>
            <w:tcBorders>
              <w:top w:val="none" w:color="FFFFFF" w:sz="0"/>
              <w:left w:val="none" w:color="FFFFFF" w:sz="0"/>
              <w:bottom w:val="none" w:color="FFFFFF" w:sz="0"/>
              <w:right w:val="none" w:color="FFFFFF" w:sz="0"/>
            </w:tcBorders>
            <w:tcMar>
              <w:top w:type="dxa" w:w="100"/>
              <w:right w:type="dxa" w:w="120"/>
            </w:tcMar>
            <w:vAlign w:val="top"/>
          </w:tcPr>
          <w:p>
            <w:r>
              <w:rPr>
                <w:rFonts w:ascii="Helvetica Neue" w:cs="Helvetica Neue" w:eastAsia="Helvetica Neue" w:hAnsi="Helvetica Neue"/>
                <w:b/>
                <w:bCs/>
                <w:color w:val="2E7D5B"/>
                <w:sz w:val="26"/>
                <w:szCs w:val="26"/>
              </w:rPr>
              <w:t xml:space="preserve">2</w:t>
            </w:r>
          </w:p>
        </w:tc>
        <w:tc>
          <w:tcPr>
            <w:tcW w:type="dxa" w:w="9600"/>
            <w:tcBorders>
              <w:top w:val="none" w:color="FFFFFF" w:sz="0"/>
              <w:left w:val="none" w:color="FFFFFF" w:sz="0"/>
              <w:bottom w:val="none" w:color="FFFFFF" w:sz="0"/>
              <w:right w:val="none" w:color="FFFFFF" w:sz="0"/>
            </w:tcBorders>
            <w:vAlign w:val="top"/>
          </w:tcPr>
          <w:p>
            <w:pPr>
              <w:spacing w:after="40"/>
            </w:pPr>
            <w:r>
              <w:rPr>
                <w:rFonts w:ascii="Helvetica Neue" w:cs="Helvetica Neue" w:eastAsia="Helvetica Neue" w:hAnsi="Helvetica Neue"/>
                <w:b/>
                <w:bCs/>
                <w:color w:val="1A211D"/>
                <w:sz w:val="21"/>
                <w:szCs w:val="21"/>
              </w:rPr>
              <w:t xml:space="preserve">Dropping two stock-fund prices from the plan</w:t>
            </w:r>
          </w:p>
          <w:p>
            <w:pPr>
              <w:spacing w:after="50"/>
            </w:pPr>
            <w:r>
              <w:rPr>
                <w:rFonts w:ascii="Helvetica Neue" w:cs="Helvetica Neue" w:eastAsia="Helvetica Neue" w:hAnsi="Helvetica Neue"/>
                <w:color w:val="1A211D"/>
                <w:sz w:val="18"/>
                <w:szCs w:val="18"/>
              </w:rPr>
              <w:t xml:space="preserve">You'd asked about adding the Russell 2000 and a social-media-sentiment fund to the dashboard. We checked, and there's no way to get either one for free without breaking a rule (a vendor's fine print, or a cost). The report shows the dashboard's existing stock numbers already move almost the same way as those two would have — so you're not really missing anything. Sign if you agree we should skip them for now.</w:t>
            </w:r>
          </w:p>
          <w:p>
            <w:pPr>
              <w:spacing w:after="30"/>
            </w:pPr>
            <w:r>
              <w:rPr>
                <w:rFonts w:ascii="Helvetica Neue" w:cs="Helvetica Neue" w:eastAsia="Helvetica Neue" w:hAnsi="Helvetica Neue"/>
                <w:b/>
                <w:bCs/>
                <w:i/>
                <w:iCs/>
                <w:color w:val="5A6660"/>
                <w:sz w:val="17"/>
                <w:szCs w:val="17"/>
              </w:rPr>
              <w:t xml:space="preserve">Why: </w:t>
            </w:r>
            <w:r>
              <w:rPr>
                <w:rFonts w:ascii="Helvetica Neue" w:cs="Helvetica Neue" w:eastAsia="Helvetica Neue" w:hAnsi="Helvetica Neue"/>
                <w:i/>
                <w:iCs/>
                <w:color w:val="5A6660"/>
                <w:sz w:val="17"/>
                <w:szCs w:val="17"/>
              </w:rPr>
              <w:t xml:space="preserve">This closes the question instead of leaving it open.</w:t>
            </w:r>
          </w:p>
          <w:p>
            <w:r>
              <w:rPr>
                <w:rFonts w:ascii="Helvetica Neue" w:cs="Helvetica Neue" w:eastAsia="Helvetica Neue" w:hAnsi="Helvetica Neue"/>
                <w:b/>
                <w:bCs/>
                <w:color w:val="5A6660"/>
                <w:sz w:val="16"/>
                <w:szCs w:val="16"/>
              </w:rPr>
              <w:t xml:space="preserve">File: </w:t>
            </w:r>
            <w:r>
              <w:rPr>
                <w:rFonts w:ascii="Helvetica Neue" w:cs="Helvetica Neue" w:eastAsia="Helvetica Neue" w:hAnsi="Helvetica Neue"/>
                <w:color w:val="5A6660"/>
                <w:sz w:val="16"/>
                <w:szCs w:val="16"/>
              </w:rPr>
              <w:t xml:space="preserve">IWM-BUZZ-Proxy-Report-2026-07-17.docx</w:t>
            </w:r>
          </w:p>
        </w:tc>
      </w:tr>
    </w:tbl>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560"/>
        <w:gridCol w:w="9600"/>
      </w:tblGrid>
      <w:tr>
        <w:tc>
          <w:tcPr>
            <w:tcW w:type="dxa" w:w="560"/>
            <w:tcBorders>
              <w:top w:val="none" w:color="FFFFFF" w:sz="0"/>
              <w:left w:val="none" w:color="FFFFFF" w:sz="0"/>
              <w:bottom w:val="none" w:color="FFFFFF" w:sz="0"/>
              <w:right w:val="none" w:color="FFFFFF" w:sz="0"/>
            </w:tcBorders>
            <w:tcMar>
              <w:top w:type="dxa" w:w="100"/>
              <w:right w:type="dxa" w:w="120"/>
            </w:tcMar>
            <w:vAlign w:val="top"/>
          </w:tcPr>
          <w:p>
            <w:r>
              <w:rPr>
                <w:rFonts w:ascii="Helvetica Neue" w:cs="Helvetica Neue" w:eastAsia="Helvetica Neue" w:hAnsi="Helvetica Neue"/>
                <w:b/>
                <w:bCs/>
                <w:color w:val="2E7D5B"/>
                <w:sz w:val="26"/>
                <w:szCs w:val="26"/>
              </w:rPr>
              <w:t xml:space="preserve">3</w:t>
            </w:r>
          </w:p>
        </w:tc>
        <w:tc>
          <w:tcPr>
            <w:tcW w:type="dxa" w:w="9600"/>
            <w:tcBorders>
              <w:top w:val="none" w:color="FFFFFF" w:sz="0"/>
              <w:left w:val="none" w:color="FFFFFF" w:sz="0"/>
              <w:bottom w:val="none" w:color="FFFFFF" w:sz="0"/>
              <w:right w:val="none" w:color="FFFFFF" w:sz="0"/>
            </w:tcBorders>
            <w:vAlign w:val="top"/>
          </w:tcPr>
          <w:p>
            <w:pPr>
              <w:spacing w:after="40"/>
            </w:pPr>
            <w:r>
              <w:rPr>
                <w:rFonts w:ascii="Helvetica Neue" w:cs="Helvetica Neue" w:eastAsia="Helvetica Neue" w:hAnsi="Helvetica Neue"/>
                <w:b/>
                <w:bCs/>
                <w:color w:val="1A211D"/>
                <w:sz w:val="21"/>
                <w:szCs w:val="21"/>
              </w:rPr>
              <w:t xml:space="preserve">Adding a real gold price</w:t>
            </w:r>
          </w:p>
          <w:p>
            <w:pPr>
              <w:spacing w:after="50"/>
            </w:pPr>
            <w:r>
              <w:rPr>
                <w:rFonts w:ascii="Helvetica Neue" w:cs="Helvetica Neue" w:eastAsia="Helvetica Neue" w:hAnsi="Helvetica Neue"/>
                <w:color w:val="1A211D"/>
                <w:sz w:val="18"/>
                <w:szCs w:val="18"/>
              </w:rPr>
              <w:t xml:space="preserve">We found a free source for gold's actual price (not a proxy) and it comes with one honest caveat: it's a small provider, not a big institution, so it's less battle-tested than our other sources. If it ever misbehaves, that row just goes blank rather than showing a wrong number — never breaks anything else. Sign if that trade-off is fine with you.</w:t>
            </w:r>
          </w:p>
          <w:p>
            <w:pPr>
              <w:spacing w:after="30"/>
            </w:pPr>
            <w:r>
              <w:rPr>
                <w:rFonts w:ascii="Helvetica Neue" w:cs="Helvetica Neue" w:eastAsia="Helvetica Neue" w:hAnsi="Helvetica Neue"/>
                <w:b/>
                <w:bCs/>
                <w:i/>
                <w:iCs/>
                <w:color w:val="5A6660"/>
                <w:sz w:val="17"/>
                <w:szCs w:val="17"/>
              </w:rPr>
              <w:t xml:space="preserve">Why: </w:t>
            </w:r>
            <w:r>
              <w:rPr>
                <w:rFonts w:ascii="Helvetica Neue" w:cs="Helvetica Neue" w:eastAsia="Helvetica Neue" w:hAnsi="Helvetica Neue"/>
                <w:i/>
                <w:iCs/>
                <w:color w:val="5A6660"/>
                <w:sz w:val="17"/>
                <w:szCs w:val="17"/>
              </w:rPr>
              <w:t xml:space="preserve">This is the compliance sign-off; once it's signed we can build the gold row.</w:t>
            </w:r>
          </w:p>
          <w:p>
            <w:r>
              <w:rPr>
                <w:rFonts w:ascii="Helvetica Neue" w:cs="Helvetica Neue" w:eastAsia="Helvetica Neue" w:hAnsi="Helvetica Neue"/>
                <w:b/>
                <w:bCs/>
                <w:color w:val="5A6660"/>
                <w:sz w:val="16"/>
                <w:szCs w:val="16"/>
              </w:rPr>
              <w:t xml:space="preserve">File: </w:t>
            </w:r>
            <w:r>
              <w:rPr>
                <w:rFonts w:ascii="Helvetica Neue" w:cs="Helvetica Neue" w:eastAsia="Helvetica Neue" w:hAnsi="Helvetica Neue"/>
                <w:color w:val="5A6660"/>
                <w:sz w:val="16"/>
                <w:szCs w:val="16"/>
              </w:rPr>
              <w:t xml:space="preserve">One-page compliance note — ask and I'll send it over.</w:t>
            </w:r>
          </w:p>
        </w:tc>
      </w:tr>
    </w:tbl>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560"/>
        <w:gridCol w:w="9600"/>
      </w:tblGrid>
      <w:tr>
        <w:tc>
          <w:tcPr>
            <w:tcW w:type="dxa" w:w="560"/>
            <w:tcBorders>
              <w:top w:val="none" w:color="FFFFFF" w:sz="0"/>
              <w:left w:val="none" w:color="FFFFFF" w:sz="0"/>
              <w:bottom w:val="none" w:color="FFFFFF" w:sz="0"/>
              <w:right w:val="none" w:color="FFFFFF" w:sz="0"/>
            </w:tcBorders>
            <w:tcMar>
              <w:top w:type="dxa" w:w="100"/>
              <w:right w:type="dxa" w:w="120"/>
            </w:tcMar>
            <w:vAlign w:val="top"/>
          </w:tcPr>
          <w:p>
            <w:r>
              <w:rPr>
                <w:rFonts w:ascii="Helvetica Neue" w:cs="Helvetica Neue" w:eastAsia="Helvetica Neue" w:hAnsi="Helvetica Neue"/>
                <w:b/>
                <w:bCs/>
                <w:color w:val="2E7D5B"/>
                <w:sz w:val="26"/>
                <w:szCs w:val="26"/>
              </w:rPr>
              <w:t xml:space="preserve">4</w:t>
            </w:r>
          </w:p>
        </w:tc>
        <w:tc>
          <w:tcPr>
            <w:tcW w:type="dxa" w:w="9600"/>
            <w:tcBorders>
              <w:top w:val="none" w:color="FFFFFF" w:sz="0"/>
              <w:left w:val="none" w:color="FFFFFF" w:sz="0"/>
              <w:bottom w:val="none" w:color="FFFFFF" w:sz="0"/>
              <w:right w:val="none" w:color="FFFFFF" w:sz="0"/>
            </w:tcBorders>
            <w:vAlign w:val="top"/>
          </w:tcPr>
          <w:p>
            <w:pPr>
              <w:spacing w:after="40"/>
            </w:pPr>
            <w:r>
              <w:rPr>
                <w:rFonts w:ascii="Helvetica Neue" w:cs="Helvetica Neue" w:eastAsia="Helvetica Neue" w:hAnsi="Helvetica Neue"/>
                <w:b/>
                <w:bCs/>
                <w:color w:val="1A211D"/>
                <w:sz w:val="21"/>
                <w:szCs w:val="21"/>
              </w:rPr>
              <w:t xml:space="preserve">A small writing change to the daily summary</w:t>
            </w:r>
          </w:p>
          <w:p>
            <w:pPr>
              <w:spacing w:after="50"/>
            </w:pPr>
            <w:r>
              <w:rPr>
                <w:rFonts w:ascii="Helvetica Neue" w:cs="Helvetica Neue" w:eastAsia="Helvetica Neue" w:hAnsi="Helvetica Neue"/>
                <w:color w:val="1A211D"/>
                <w:sz w:val="18"/>
                <w:szCs w:val="18"/>
              </w:rPr>
              <w:t xml:space="preserve">Right now each of the two bullet points in your daily briefing states a number. We'd like to add one short phrase after each number saying what it means in plain terms — for example, "...— the job market is holding its ground." It passed our quality check. We just want your okay on the tone before it goes live.</w:t>
            </w:r>
          </w:p>
          <w:p>
            <w:pPr>
              <w:spacing w:after="30"/>
            </w:pPr>
            <w:r>
              <w:rPr>
                <w:rFonts w:ascii="Helvetica Neue" w:cs="Helvetica Neue" w:eastAsia="Helvetica Neue" w:hAnsi="Helvetica Neue"/>
                <w:b/>
                <w:bCs/>
                <w:i/>
                <w:iCs/>
                <w:color w:val="5A6660"/>
                <w:sz w:val="17"/>
                <w:szCs w:val="17"/>
              </w:rPr>
              <w:t xml:space="preserve">Why: </w:t>
            </w:r>
            <w:r>
              <w:rPr>
                <w:rFonts w:ascii="Helvetica Neue" w:cs="Helvetica Neue" w:eastAsia="Helvetica Neue" w:hAnsi="Helvetica Neue"/>
                <w:i/>
                <w:iCs/>
                <w:color w:val="5A6660"/>
                <w:sz w:val="17"/>
                <w:szCs w:val="17"/>
              </w:rPr>
              <w:t xml:space="preserve">Anything that changes how the briefing sounds needs your ear on it first — that's a rule you set.</w:t>
            </w:r>
          </w:p>
          <w:p>
            <w:r>
              <w:rPr>
                <w:rFonts w:ascii="Helvetica Neue" w:cs="Helvetica Neue" w:eastAsia="Helvetica Neue" w:hAnsi="Helvetica Neue"/>
                <w:b/>
                <w:bCs/>
                <w:color w:val="5A6660"/>
                <w:sz w:val="16"/>
                <w:szCs w:val="16"/>
              </w:rPr>
              <w:t xml:space="preserve">File: </w:t>
            </w:r>
            <w:r>
              <w:rPr>
                <w:rFonts w:ascii="Helvetica Neue" w:cs="Helvetica Neue" w:eastAsia="Helvetica Neue" w:hAnsi="Helvetica Neue"/>
                <w:color w:val="5A6660"/>
                <w:sz w:val="16"/>
                <w:szCs w:val="16"/>
              </w:rPr>
              <w:t xml:space="preserve">No document — just tell me yes/no, or ask to see three sample lines first.</w:t>
            </w:r>
          </w:p>
        </w:tc>
      </w:tr>
    </w:tbl>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560"/>
        <w:gridCol w:w="9600"/>
      </w:tblGrid>
      <w:tr>
        <w:tc>
          <w:tcPr>
            <w:tcW w:type="dxa" w:w="560"/>
            <w:tcBorders>
              <w:top w:val="none" w:color="FFFFFF" w:sz="0"/>
              <w:left w:val="none" w:color="FFFFFF" w:sz="0"/>
              <w:bottom w:val="none" w:color="FFFFFF" w:sz="0"/>
              <w:right w:val="none" w:color="FFFFFF" w:sz="0"/>
            </w:tcBorders>
            <w:tcMar>
              <w:top w:type="dxa" w:w="100"/>
              <w:right w:type="dxa" w:w="120"/>
            </w:tcMar>
            <w:vAlign w:val="top"/>
          </w:tcPr>
          <w:p>
            <w:r>
              <w:rPr>
                <w:rFonts w:ascii="Helvetica Neue" w:cs="Helvetica Neue" w:eastAsia="Helvetica Neue" w:hAnsi="Helvetica Neue"/>
                <w:b/>
                <w:bCs/>
                <w:color w:val="2E7D5B"/>
                <w:sz w:val="26"/>
                <w:szCs w:val="26"/>
              </w:rPr>
              <w:t xml:space="preserve">5</w:t>
            </w:r>
          </w:p>
        </w:tc>
        <w:tc>
          <w:tcPr>
            <w:tcW w:type="dxa" w:w="9600"/>
            <w:tcBorders>
              <w:top w:val="none" w:color="FFFFFF" w:sz="0"/>
              <w:left w:val="none" w:color="FFFFFF" w:sz="0"/>
              <w:bottom w:val="none" w:color="FFFFFF" w:sz="0"/>
              <w:right w:val="none" w:color="FFFFFF" w:sz="0"/>
            </w:tcBorders>
            <w:vAlign w:val="top"/>
          </w:tcPr>
          <w:p>
            <w:pPr>
              <w:spacing w:after="40"/>
            </w:pPr>
            <w:r>
              <w:rPr>
                <w:rFonts w:ascii="Helvetica Neue" w:cs="Helvetica Neue" w:eastAsia="Helvetica Neue" w:hAnsi="Helvetica Neue"/>
                <w:b/>
                <w:bCs/>
                <w:color w:val="1A211D"/>
                <w:sz w:val="21"/>
                <w:szCs w:val="21"/>
              </w:rPr>
              <w:t xml:space="preserve">One housekeeping task (not a signature — just a task for you)</w:t>
            </w:r>
          </w:p>
          <w:p>
            <w:pPr>
              <w:spacing w:after="50"/>
            </w:pPr>
            <w:r>
              <w:rPr>
                <w:rFonts w:ascii="Helvetica Neue" w:cs="Helvetica Neue" w:eastAsia="Helvetica Neue" w:hAnsi="Helvetica Neue"/>
                <w:color w:val="1A211D"/>
                <w:sz w:val="18"/>
                <w:szCs w:val="18"/>
              </w:rPr>
              <w:t xml:space="preserve">The morning update is supposed to run at 9:45 AM but is still running about half an hour later than that. Fixing it takes five minutes but needs you logged into our Cloudflare account, which only you can do. No rush — nothing is broken, it's just later than planned.</w:t>
            </w:r>
          </w:p>
          <w:p>
            <w:pPr>
              <w:spacing w:after="0"/>
            </w:pPr>
            <w:r>
              <w:rPr>
                <w:rFonts w:ascii="Helvetica Neue" w:cs="Helvetica Neue" w:eastAsia="Helvetica Neue" w:hAnsi="Helvetica Neue"/>
                <w:b/>
                <w:bCs/>
                <w:i/>
                <w:iCs/>
                <w:color w:val="5A6660"/>
                <w:sz w:val="17"/>
                <w:szCs w:val="17"/>
              </w:rPr>
              <w:t xml:space="preserve">Why: </w:t>
            </w:r>
            <w:r>
              <w:rPr>
                <w:rFonts w:ascii="Helvetica Neue" w:cs="Helvetica Neue" w:eastAsia="Helvetica Neue" w:hAnsi="Helvetica Neue"/>
                <w:i/>
                <w:iCs/>
                <w:color w:val="5A6660"/>
                <w:sz w:val="17"/>
                <w:szCs w:val="17"/>
              </w:rPr>
              <w:t xml:space="preserve">It needs your login; I can't do it for you.</w:t>
            </w:r>
          </w:p>
        </w:tc>
      </w:tr>
    </w:tbl>
    <w:p>
      <w:pPr>
        <w:pBdr>
          <w:top w:val="single" w:color="C9CFC9" w:sz="4"/>
        </w:pBdr>
        <w:spacing w:before="260"/>
      </w:pPr>
      <w:r>
        <w:rPr>
          <w:rFonts w:ascii="Helvetica Neue" w:cs="Helvetica Neue" w:eastAsia="Helvetica Neue" w:hAnsi="Helvetica Neue"/>
          <w:i/>
          <w:iCs/>
          <w:color w:val="5A6660"/>
          <w:sz w:val="17"/>
          <w:szCs w:val="17"/>
        </w:rPr>
        <w:t xml:space="preserve">Take these one at a time or all at once — whatever's easiest. Nothing ships or changes until you sign. Questions on any of them, just ask.</w:t>
      </w:r>
    </w:p>
    <w:sectPr>
      <w:pgSz w:w="12240" w:h="15840" w:orient="portrait"/>
      <w:pgMar w:top="820" w:right="1050" w:bottom="76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1A211D"/>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2026-07-21T15:51:44.532Z</dcterms:created>
  <dcterms:modified xsi:type="dcterms:W3CDTF">2026-07-21T15:51:44.533Z</dcterms:modified>
</cp:coreProperties>
</file>

<file path=docProps/custom.xml><?xml version="1.0" encoding="utf-8"?>
<Properties xmlns="http://schemas.openxmlformats.org/officeDocument/2006/custom-properties" xmlns:vt="http://schemas.openxmlformats.org/officeDocument/2006/docPropsVTypes"/>
</file>