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A6660"/>
          <w:spacing w:val="30"/>
          <w:sz w:val="17"/>
          <w:szCs w:val="17"/>
        </w:rPr>
        <w:t xml:space="preserve">BRUCE YAZDANI, LLC</w:t>
      </w:r>
    </w:p>
    <w:p>
      <w:pPr>
        <w:spacing w:after="40"/>
      </w:pPr>
      <w:r>
        <w:rPr>
          <w:b/>
          <w:bCs/>
          <w:color w:val="1A211D"/>
          <w:sz w:val="32"/>
          <w:szCs w:val="32"/>
        </w:rPr>
        <w:t xml:space="preserve">IWM &amp; BUZZ — Proxy Correlation Report</w:t>
      </w:r>
    </w:p>
    <w:p>
      <w:pPr>
        <w:pBdr>
          <w:bottom w:val="single" w:color="C9CFC9" w:sz="4"/>
        </w:pBdr>
        <w:spacing w:after="130"/>
      </w:pPr>
      <w:r>
        <w:rPr>
          <w:color w:val="5A6660"/>
          <w:sz w:val="16"/>
          <w:szCs w:val="16"/>
        </w:rPr>
        <w:t xml:space="preserve">Phase 2 sign-off deliverable (SCRUM-81) · July 17, 2026 · Correlations measured on actual daily price history, not estimates</w:t>
      </w:r>
    </w:p>
    <w:p>
      <w:pPr>
        <w:spacing w:after="60" w:before="240"/>
      </w:pPr>
      <w:r>
        <w:rPr>
          <w:rFonts w:ascii="Helvetica Neue" w:cs="Helvetica Neue" w:eastAsia="Helvetica Neue" w:hAnsi="Helvetica Neue"/>
          <w:b/>
          <w:bCs/>
          <w:color w:val="2E7D5B"/>
          <w:spacing w:val="24"/>
          <w:sz w:val="17"/>
          <w:szCs w:val="17"/>
        </w:rPr>
        <w:t xml:space="preserve">WHY THIS REPORT</w:t>
      </w:r>
    </w:p>
    <w:p>
      <w:pPr>
        <w:spacing w:after="90" w:line="250"/>
      </w:pP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The July 17 vendor review established that no free data source can lawfully supply IWM and BUZZ prices for public display. Before Phase 2 decides what to do about that, this report answers: how much of each fund's movement do we already capture, and what would the best free stand-ins add? All figures are Pearson correlations of daily returns (monthly where noted), computed July 17 on the funds' full price history — IWM over ten years, BUZZ since its March 2021 launch.</w:t>
      </w:r>
    </w:p>
    <w:p>
      <w:pPr>
        <w:spacing w:after="60" w:before="240"/>
      </w:pPr>
      <w:r>
        <w:rPr>
          <w:rFonts w:ascii="Helvetica Neue" w:cs="Helvetica Neue" w:eastAsia="Helvetica Neue" w:hAnsi="Helvetica Neue"/>
          <w:b/>
          <w:bCs/>
          <w:color w:val="2E7D5B"/>
          <w:spacing w:val="24"/>
          <w:sz w:val="17"/>
          <w:szCs w:val="17"/>
        </w:rPr>
        <w:t xml:space="preserve">THE HEADLINE NUMBERS</w:t>
      </w:r>
    </w:p>
    <w:p>
      <w:pPr>
        <w:pStyle w:val="ListParagraph"/>
        <w:numPr>
          <w:ilvl w:val="0"/>
          <w:numId w:val="2"/>
        </w:numPr>
        <w:spacing w:after="50" w:line="246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IWM (Russell 2000 small-caps):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the S&amp;P 500 — already on the dashboard — moves with it at </w:t>
      </w: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+86%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 daily (+87% monthly). The best free addition, the Dow at +85%, adds nothing the S&amp;P doesn't already carry.</w:t>
      </w:r>
    </w:p>
    <w:p>
      <w:pPr>
        <w:pStyle w:val="ListParagraph"/>
        <w:numPr>
          <w:ilvl w:val="0"/>
          <w:numId w:val="2"/>
        </w:numPr>
        <w:spacing w:after="50" w:line="246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BUZZ (social sentiment):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the Nasdaq — already on the dashboard — moves with it at </w:t>
      </w: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+88%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 daily and </w:t>
      </w: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+91%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 monthly. As a price, BUZZ is close to a Nasdaq clone.</w:t>
      </w:r>
    </w:p>
    <w:p>
      <w:pPr>
        <w:pStyle w:val="ListParagraph"/>
        <w:numPr>
          <w:ilvl w:val="0"/>
          <w:numId w:val="2"/>
        </w:numPr>
        <w:spacing w:after="50" w:line="246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The part no proxy carries: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IWM's small-cap-specific signal (the ~14% that isn't the broad market) and BUZZ's social-chatter selection exist in no free series. Notably, the news-sentiment index correlates with BUZZ at only −7% — even sentiment data doesn't track it, because BUZZ's price is driven by its stocks, not by the chatter that picks them.</w:t>
      </w:r>
    </w:p>
    <w:p>
      <w:pPr>
        <w:spacing w:after="60" w:before="240"/>
      </w:pPr>
      <w:r>
        <w:rPr>
          <w:rFonts w:ascii="Helvetica Neue" w:cs="Helvetica Neue" w:eastAsia="Helvetica Neue" w:hAnsi="Helvetica Neue"/>
          <w:b/>
          <w:bCs/>
          <w:color w:val="2E7D5B"/>
          <w:spacing w:val="24"/>
          <w:sz w:val="17"/>
          <w:szCs w:val="17"/>
        </w:rPr>
        <w:t xml:space="preserve">MEASURED CORRELATIONS AND DATA RELIABILITY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350"/>
        <w:gridCol w:w="1450"/>
        <w:gridCol w:w="1750"/>
        <w:gridCol w:w="3350"/>
      </w:tblGrid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shd w:fill="EDF1ED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5A6660"/>
                <w:sz w:val="14"/>
                <w:szCs w:val="14"/>
              </w:rPr>
              <w:t xml:space="preserve">Candidate series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shd w:fill="EDF1ED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5A6660"/>
                <w:sz w:val="14"/>
                <w:szCs w:val="14"/>
              </w:rPr>
              <w:t xml:space="preserve">In product?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shd w:fill="EDF1ED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5A6660"/>
                <w:sz w:val="14"/>
                <w:szCs w:val="14"/>
              </w:rPr>
              <w:t xml:space="preserve">vs IWM (10y)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shd w:fill="EDF1ED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5A6660"/>
                <w:sz w:val="14"/>
                <w:szCs w:val="14"/>
              </w:rPr>
              <w:t xml:space="preserve">vs BUZZ (2021–)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shd w:fill="EDF1ED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5A6660"/>
                <w:sz w:val="14"/>
                <w:szCs w:val="14"/>
              </w:rPr>
              <w:t xml:space="preserve">History reliability (free source)</w:t>
            </w:r>
          </w:p>
        </w:tc>
      </w:tr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S&amp;P 500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+86.3%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+82.5%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Good — daily; licence-capped at trailing 10y on FRED</w:t>
            </w:r>
          </w:p>
        </w:tc>
      </w:tr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Nasdaq Composite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+81.5%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+88.2%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Excellent — daily, decades of history</w:t>
            </w:r>
          </w:p>
        </w:tc>
      </w:tr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HY credit spread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−58.0%*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−53.9%*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Weakening — FRED newly capped to trailing 3y (Apr 2026)</w:t>
            </w:r>
          </w:p>
        </w:tc>
      </w:tr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Dow Jones (DJIA)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No — free add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+84.6%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+68.7%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Good — daily; same 10y licence cap as S&amp;P</w:t>
            </w:r>
          </w:p>
        </w:tc>
      </w:tr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VIX (ships Phase 1)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Arriving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−69.7%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−63.7%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Excellent — daily, deep history</w:t>
            </w:r>
          </w:p>
        </w:tc>
      </w:tr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Gold-ETF volatility (GVZ)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No — free add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−29.8%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−25.1%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Excellent — daily, 2008-present</w:t>
            </w:r>
          </w:p>
        </w:tc>
      </w:tr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News-sentiment index (EMV)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No — free add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−41.0% (mo.)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−6.7% (mo.)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Good — monthly only, 1985-present</w:t>
            </w:r>
          </w:p>
        </w:tc>
      </w:tr>
      <w:tr>
        <w:tc>
          <w:tcPr>
            <w:tcW w:type="dxa" w:w="2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Financial conditions (NFCI)</w:t>
            </w:r>
          </w:p>
        </w:tc>
        <w:tc>
          <w:tcPr>
            <w:tcW w:type="dxa" w:w="1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No — free add</w:t>
            </w:r>
          </w:p>
        </w:tc>
        <w:tc>
          <w:tcPr>
            <w:tcW w:type="dxa" w:w="14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−40.0% (wk.)</w:t>
            </w:r>
          </w:p>
        </w:tc>
        <w:tc>
          <w:tcPr>
            <w:tcW w:type="dxa" w:w="17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−29.7% (wk.)</w:t>
            </w:r>
          </w:p>
        </w:tc>
        <w:tc>
          <w:tcPr>
            <w:tcW w:type="dxa" w:w="335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Excellent — weekly, 1971-present</w:t>
            </w:r>
          </w:p>
        </w:tc>
      </w:tr>
    </w:tbl>
    <w:p>
      <w:pPr>
        <w:spacing w:after="40" w:line="250"/>
      </w:pPr>
      <w:r>
        <w:rPr>
          <w:rFonts w:ascii="Helvetica Neue" w:cs="Helvetica Neue" w:eastAsia="Helvetica Neue" w:hAnsi="Helvetica Neue"/>
          <w:color w:val="5A6660"/>
          <w:sz w:val="15"/>
          <w:szCs w:val="15"/>
        </w:rPr>
        <w:t xml:space="preserve">* The HY-spread sample is 3 years (752 trading days) — FRED's new ICE licence cap — so its 10-year column is the same sample. Negative signs mean the series moves opposite to the fund (fear gauges rise when stocks fall), which is what makes VIX useful as a mood proxy. Fund price history for this analysis: 5,666 IWM trading days (2004–2026) and 1,349 BUZZ trading days (full life), from a one-time public-data pull used for analysis only — not wired into the product.</w:t>
      </w:r>
    </w:p>
    <w:p>
      <w:r>
        <w:br w:type="page"/>
      </w:r>
    </w:p>
    <w:p>
      <w:pPr>
        <w:spacing w:after="60" w:before="240"/>
      </w:pPr>
      <w:r>
        <w:rPr>
          <w:rFonts w:ascii="Helvetica Neue" w:cs="Helvetica Neue" w:eastAsia="Helvetica Neue" w:hAnsi="Helvetica Neue"/>
          <w:b/>
          <w:bCs/>
          <w:color w:val="2E7D5B"/>
          <w:spacing w:val="24"/>
          <w:sz w:val="17"/>
          <w:szCs w:val="17"/>
        </w:rPr>
        <w:t xml:space="preserve">WHAT THE NUMBERS MEAN</w:t>
      </w:r>
    </w:p>
    <w:p>
      <w:pPr>
        <w:spacing w:after="60" w:line="250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IWM.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Between the S&amp;P 500 (+86%) and VIX (−70%), the dashboard already tracks roughly six-sevenths of IWM's daily movement. What's genuinely missing is the small-cap spread — the days small companies diverge from large ones. That signal exists only in Russell/S&amp;P small-cap data, which is licensed property with no free, display-permitted source. No free addition closes that gap: the Dow is a large-cap index that duplicates the S&amp;P.</w:t>
      </w:r>
    </w:p>
    <w:p>
      <w:pPr>
        <w:spacing w:after="60" w:line="250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BUZZ.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At +88% daily / +91% monthly against the Nasdaq, BUZZ-the-price is nearly redundant with a row the dashboard already has. BUZZ-the-idea — what retail investors are talking about — is not in its price at all: the news-sentiment index tracks it at just −7%. If the interest is the mood of the market, VIX (arriving in Phase 1) plus the monthly news-sentiment index are the honest free reads. If the interest is BUZZ's specific portfolio, no free source can display it.</w:t>
      </w:r>
    </w:p>
    <w:p>
      <w:pPr>
        <w:spacing w:after="60" w:before="240"/>
      </w:pPr>
      <w:r>
        <w:rPr>
          <w:rFonts w:ascii="Helvetica Neue" w:cs="Helvetica Neue" w:eastAsia="Helvetica Neue" w:hAnsi="Helvetica Neue"/>
          <w:b/>
          <w:bCs/>
          <w:color w:val="2E7D5B"/>
          <w:spacing w:val="24"/>
          <w:sz w:val="17"/>
          <w:szCs w:val="17"/>
        </w:rPr>
        <w:t xml:space="preserve">RECOMMENDATION FOR SIGN-OFF</w:t>
      </w:r>
    </w:p>
    <w:p>
      <w:pPr>
        <w:pStyle w:val="ListParagraph"/>
        <w:numPr>
          <w:ilvl w:val="0"/>
          <w:numId w:val="2"/>
        </w:numPr>
        <w:spacing w:after="50" w:line="246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Do not add IWM or BUZZ rows.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The dashboard's existing S&amp;P 500 and Nasdaq rows carry 86–91% of their movement; the residual signal has no lawful free carrier at any quality.</w:t>
      </w:r>
    </w:p>
    <w:p>
      <w:pPr>
        <w:pStyle w:val="ListParagraph"/>
        <w:numPr>
          <w:ilvl w:val="0"/>
          <w:numId w:val="2"/>
        </w:numPr>
        <w:spacing w:after="50" w:line="246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Let VIX (Phase 1) serve as the market-mood row.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It is the strongest inverse read on both funds (−64% to −70%) and comes from a fully clean free source.</w:t>
      </w:r>
    </w:p>
    <w:p>
      <w:pPr>
        <w:pStyle w:val="ListParagraph"/>
        <w:numPr>
          <w:ilvl w:val="0"/>
          <w:numId w:val="2"/>
        </w:numPr>
        <w:spacing w:after="50" w:line="246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Optional, zero-cost: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add the monthly news-sentiment index (EMV) as a drawer row if a dedicated “what's in the news” signal is wanted; decline the Dow and GVZ as duplicative.</w:t>
      </w:r>
    </w:p>
    <w:p>
      <w:pPr>
        <w:pStyle w:val="ListParagraph"/>
        <w:numPr>
          <w:ilvl w:val="0"/>
          <w:numId w:val="2"/>
        </w:numPr>
        <w:spacing w:after="50" w:line="246"/>
      </w:pPr>
      <w:r>
        <w:rPr>
          <w:rFonts w:ascii="Helvetica Neue" w:cs="Helvetica Neue" w:eastAsia="Helvetica Neue" w:hAnsi="Helvetica Neue"/>
          <w:b/>
          <w:bCs/>
          <w:color w:val="1A211D"/>
          <w:sz w:val="19"/>
          <w:szCs w:val="19"/>
        </w:rPr>
        <w:t xml:space="preserve">Revisit only if the charter's no-paid-data posture changes. </w:t>
      </w:r>
      <w:r>
        <w:rPr>
          <w:rFonts w:ascii="Helvetica Neue" w:cs="Helvetica Neue" w:eastAsia="Helvetica Neue" w:hAnsi="Helvetica Neue"/>
          <w:color w:val="1A211D"/>
          <w:sz w:val="19"/>
          <w:szCs w:val="19"/>
        </w:rPr>
        <w:t xml:space="preserve">Licensed small-cap and thematic data are purchasable; that is a separate decision that returns to this desk.</w:t>
      </w:r>
    </w:p>
    <w:p>
      <w:pPr>
        <w:spacing w:after="60" w:before="240"/>
      </w:pPr>
      <w:r>
        <w:rPr>
          <w:rFonts w:ascii="Helvetica Neue" w:cs="Helvetica Neue" w:eastAsia="Helvetica Neue" w:hAnsi="Helvetica Neue"/>
          <w:b/>
          <w:bCs/>
          <w:color w:val="2E7D5B"/>
          <w:spacing w:val="24"/>
          <w:sz w:val="17"/>
          <w:szCs w:val="17"/>
        </w:rPr>
        <w:t xml:space="preserve">APPROVAL</w:t>
      </w:r>
    </w:p>
    <w:p>
      <w:pPr>
        <w:spacing w:after="120" w:line="250"/>
      </w:pPr>
      <w:r>
        <w:rPr>
          <w:rFonts w:ascii="Helvetica Neue" w:cs="Helvetica Neue" w:eastAsia="Helvetica Neue" w:hAnsi="Helvetica Neue"/>
          <w:color w:val="5A6660"/>
          <w:sz w:val="17"/>
          <w:szCs w:val="17"/>
        </w:rPr>
        <w:t xml:space="preserve">Approving this report closes the IWM/BUZZ question for Phase 2: the source decision (SCRUM-78) then covers only the gold row (approved direction: gold-api.com, with its vendor caveat) and the compliance record.</w:t>
      </w:r>
    </w:p>
    <w:tbl>
      <w:tblPr>
        <w:tblW w:type="dxa" w:w="10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370"/>
      </w:tblGrid>
      <w:tr>
        <w:tc>
          <w:tcPr>
            <w:tcW w:type="dxa" w:w="500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X — Bruce Yazdani, Chief Executive Officer, Bruce Yazdani, LLC</w:t>
            </w:r>
          </w:p>
        </w:tc>
        <w:tc>
          <w:tcPr>
            <w:tcW w:type="dxa" w:w="200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5A6660"/>
                <w:sz w:val="16"/>
                <w:szCs w:val="16"/>
              </w:rPr>
              <w:t xml:space="preserve">Date</w:t>
            </w:r>
          </w:p>
        </w:tc>
        <w:tc>
          <w:tcPr>
            <w:tcW w:type="dxa" w:w="337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>X — Arash Yazdani, Operator</w:t>
            </w:r>
          </w:p>
        </w:tc>
        <w:tc>
          <w:tcPr>
            <w:tcW w:type="dxa" w:w="200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5A6660"/>
                <w:sz w:val="16"/>
                <w:szCs w:val="16"/>
              </w:rPr>
              <w:t xml:space="preserve">Date</w:t>
            </w:r>
          </w:p>
        </w:tc>
        <w:tc>
          <w:tcPr>
            <w:tcW w:type="dxa" w:w="3370"/>
            <w:tcBorders>
              <w:top w:val="single" w:color="C9CFC9" w:sz="4"/>
              <w:left w:val="none" w:color="FFFFFF" w:sz="0"/>
              <w:bottom w:val="single" w:color="C9CFC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211D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88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A211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2026-07-17T17:22:53.651Z</dcterms:created>
  <dcterms:modified xsi:type="dcterms:W3CDTF">2026-07-17T17:22:53.651Z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