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665F"/>
          <w:spacing w:val="30"/>
          <w:sz w:val="17"/>
          <w:szCs w:val="17"/>
        </w:rPr>
        <w:t xml:space="preserve">BRUCE YAZDANI, LLC</w:t>
      </w:r>
    </w:p>
    <w:p>
      <w:pPr>
        <w:spacing w:after="60"/>
      </w:pPr>
      <w:r>
        <w:rPr>
          <w:b/>
          <w:bCs/>
          <w:color w:val="1A211D"/>
          <w:sz w:val="34"/>
          <w:szCs w:val="34"/>
        </w:rPr>
        <w:t xml:space="preserve">Project Charter — The Daily Macro Briefing</w:t>
      </w:r>
    </w:p>
    <w:p>
      <w:pPr>
        <w:pBdr>
          <w:bottom w:val="single" w:color="2E7D5B" w:sz="8"/>
        </w:pBdr>
        <w:spacing w:after="200"/>
      </w:pPr>
      <w:r>
        <w:rPr>
          <w:color w:val="5A665F"/>
          <w:sz w:val="19"/>
          <w:szCs w:val="19"/>
        </w:rPr>
        <w:t xml:space="preserve">Sponsor: Bruce Yazdani, CEO   ·   Operator: Arash Yazdani   ·   July 14, 2026   ·   Status: Live since June 18, 2026</w:t>
      </w:r>
    </w:p>
    <w:p>
      <w:pPr>
        <w:spacing w:after="60" w:before="280"/>
      </w:pPr>
      <w:r>
        <w:rPr>
          <w:b/>
          <w:bCs/>
          <w:color w:val="2E7D5B"/>
          <w:spacing w:val="24"/>
          <w:sz w:val="17"/>
          <w:szCs w:val="17"/>
        </w:rPr>
        <w:t xml:space="preserve">PURPOSE</w:t>
      </w:r>
    </w:p>
    <w:p>
      <w:pPr>
        <w:spacing w:after="100" w:line="264"/>
      </w:pPr>
      <w:r>
        <w:rPr>
          <w:color w:val="1A211D"/>
          <w:sz w:val="21"/>
          <w:szCs w:val="21"/>
        </w:rPr>
        <w:t xml:space="preserve">Give the CEO one trustworthy, private read on the U.S. economy every day — short enough to absorb in ten seconds, written well enough to quote out loud — without subscriptions, staff, or time spent scanning financial media. The product is a private web app that updates itself twice a day (9:45 AM and 5:30 PM ET) with a plain-English briefing and a dashboard of 29 economic measures.</w:t>
      </w:r>
    </w:p>
    <w:p>
      <w:pPr>
        <w:spacing w:after="60" w:before="280"/>
      </w:pPr>
      <w:r>
        <w:rPr>
          <w:b/>
          <w:bCs/>
          <w:color w:val="2E7D5B"/>
          <w:spacing w:val="24"/>
          <w:sz w:val="17"/>
          <w:szCs w:val="17"/>
        </w:rPr>
        <w:t xml:space="preserve">WHAT THE COMPANY GETS</w:t>
      </w:r>
    </w:p>
    <w:p>
      <w:pPr>
        <w:pStyle w:val="ListParagraph"/>
        <w:numPr>
          <w:ilvl w:val="0"/>
          <w:numId w:val="2"/>
        </w:numPr>
        <w:spacing w:after="60" w:line="264"/>
      </w:pPr>
      <w:r>
        <w:rPr>
          <w:color w:val="1A211D"/>
          <w:sz w:val="21"/>
          <w:szCs w:val="21"/>
        </w:rPr>
        <w:t xml:space="preserve">A daily two-line economic briefing in a locked, approved voice, plus a one-line note whenever a number moved in the last 24 hours.</w:t>
      </w:r>
    </w:p>
    <w:p>
      <w:pPr>
        <w:pStyle w:val="ListParagraph"/>
        <w:numPr>
          <w:ilvl w:val="0"/>
          <w:numId w:val="2"/>
        </w:numPr>
        <w:spacing w:after="60" w:line="264"/>
      </w:pPr>
      <w:r>
        <w:rPr>
          <w:color w:val="1A211D"/>
          <w:sz w:val="21"/>
          <w:szCs w:val="21"/>
        </w:rPr>
        <w:t xml:space="preserve">A live dashboard: inflation, jobs, growth, rates, housing, and market backdrop — with ten years of history behind every figure.</w:t>
      </w:r>
    </w:p>
    <w:p>
      <w:pPr>
        <w:pStyle w:val="ListParagraph"/>
        <w:numPr>
          <w:ilvl w:val="0"/>
          <w:numId w:val="2"/>
        </w:numPr>
        <w:spacing w:after="60" w:line="264"/>
      </w:pPr>
      <w:r>
        <w:rPr>
          <w:color w:val="1A211D"/>
          <w:sz w:val="21"/>
          <w:szCs w:val="21"/>
        </w:rPr>
        <w:t xml:space="preserve">A standing economic judgment (“Soft landing,” “Slowdown,” …) produced by fixed, pre-approved rules — not by machine improvisation.</w:t>
      </w:r>
    </w:p>
    <w:p>
      <w:pPr>
        <w:pStyle w:val="ListParagraph"/>
        <w:numPr>
          <w:ilvl w:val="0"/>
          <w:numId w:val="2"/>
        </w:numPr>
        <w:spacing w:after="60" w:line="264"/>
      </w:pPr>
      <w:r>
        <w:rPr>
          <w:color w:val="1A211D"/>
          <w:sz w:val="21"/>
          <w:szCs w:val="21"/>
        </w:rPr>
        <w:t xml:space="preserve">Zero operating cost. Every data source and every piece of infrastructure runs on free government or free-tier services, with no payment method on file anywhere.</w:t>
      </w:r>
    </w:p>
    <w:p>
      <w:pPr>
        <w:spacing w:after="60" w:before="280"/>
      </w:pPr>
      <w:r>
        <w:rPr>
          <w:b/>
          <w:bCs/>
          <w:color w:val="2E7D5B"/>
          <w:spacing w:val="24"/>
          <w:sz w:val="17"/>
          <w:szCs w:val="17"/>
        </w:rPr>
        <w:t xml:space="preserve">WHAT THIS IS NOT</w:t>
      </w:r>
    </w:p>
    <w:p>
      <w:pPr>
        <w:spacing w:after="100" w:line="264"/>
      </w:pPr>
      <w:r>
        <w:rPr>
          <w:color w:val="1A211D"/>
          <w:sz w:val="21"/>
          <w:szCs w:val="21"/>
        </w:rPr>
        <w:t xml:space="preserve">This tool describes the economy; it never advises. It will not mention individual securities, will not say buy, sell, or recommend, and automated safeguards block any such language before publication. It is a single-user product for the CEO alone — not a client-facing service — which keeps it clear of investment-adviser regulation. Any future change to that posture is a separate decision that returns to this desk.</w:t>
      </w:r>
    </w:p>
    <w:p>
      <w:pPr>
        <w:spacing w:after="60" w:before="280"/>
      </w:pPr>
      <w:r>
        <w:rPr>
          <w:b/>
          <w:bCs/>
          <w:color w:val="2E7D5B"/>
          <w:spacing w:val="24"/>
          <w:sz w:val="17"/>
          <w:szCs w:val="17"/>
        </w:rPr>
        <w:t xml:space="preserve">WHERE THE PROJECT STANDS</w:t>
      </w:r>
    </w:p>
    <w:p>
      <w:pPr>
        <w:spacing w:after="100" w:line="264"/>
      </w:pPr>
      <w:r>
        <w:rPr>
          <w:color w:val="1A211D"/>
          <w:sz w:val="21"/>
          <w:szCs w:val="21"/>
        </w:rPr>
        <w:t xml:space="preserve">The system launched on schedule on June 18, 2026 and has published reliably twice daily since. All launch conditions were met: the 23-point readiness checklist, a passed quality audit of the writing engine, and the full compliance package below. A July marketplace review confirmed our data sources are the best available at zero cost: the current setup scored 9.3 of 10 against every free alternative on the market; the best competitor scored 7.4 and would improve only one of 29 measures. Recommendation adopted: stay the course.</w:t>
      </w:r>
    </w:p>
    <w:p>
      <w:r>
        <w:br w:type="page"/>
      </w:r>
    </w:p>
    <w:p>
      <w:pPr>
        <w:spacing w:after="60" w:before="280"/>
      </w:pPr>
      <w:r>
        <w:rPr>
          <w:b/>
          <w:bCs/>
          <w:color w:val="2E7D5B"/>
          <w:spacing w:val="24"/>
          <w:sz w:val="17"/>
          <w:szCs w:val="17"/>
        </w:rPr>
        <w:t xml:space="preserve">DECISION RIGHTS</w:t>
      </w:r>
    </w:p>
    <w:p>
      <w:pPr>
        <w:spacing w:after="100" w:line="264"/>
      </w:pPr>
      <w:r>
        <w:rPr>
          <w:color w:val="1A211D"/>
          <w:sz w:val="21"/>
          <w:szCs w:val="21"/>
        </w:rPr>
        <w:t xml:space="preserve">The CEO holds sign-off over everything that touches trust: the product’s voice, the measures it reports, the rules behind its judgment, and the compliance boundaries. The operator builds and runs the system and may change anything else without escalation. Every CEO decision is captured in writing, in a permanent audit trail. Decisions approved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none" w:color="FFFFFF" w:sz="0"/>
              <w:left w:val="none" w:color="FFFFFF" w:sz="0"/>
              <w:bottom w:val="single" w:color="C9D1CC" w:sz="4"/>
              <w:right w:val="none" w:color="FFFFFF" w:sz="0"/>
            </w:tcBorders>
          </w:tcPr>
          <w:p>
            <w:pPr>
              <w:spacing w:after="40"/>
            </w:pPr>
            <w:r>
              <w:rPr>
                <w:b/>
                <w:bCs/>
                <w:color w:val="5A665F"/>
                <w:spacing w:val="20"/>
                <w:sz w:val="16"/>
                <w:szCs w:val="16"/>
              </w:rPr>
              <w:t xml:space="preserve">DECISION</w:t>
            </w:r>
          </w:p>
        </w:tc>
        <w:tc>
          <w:tcPr>
            <w:tcW w:type="dxa" w:w="5160"/>
            <w:tcBorders>
              <w:top w:val="none" w:color="FFFFFF" w:sz="0"/>
              <w:left w:val="none" w:color="FFFFFF" w:sz="0"/>
              <w:bottom w:val="single" w:color="C9D1CC" w:sz="4"/>
              <w:right w:val="none" w:color="FFFFFF" w:sz="0"/>
            </w:tcBorders>
          </w:tcPr>
          <w:p>
            <w:pPr>
              <w:spacing w:after="40"/>
            </w:pPr>
            <w:r>
              <w:rPr>
                <w:b/>
                <w:bCs/>
                <w:color w:val="5A665F"/>
                <w:spacing w:val="20"/>
                <w:sz w:val="16"/>
                <w:szCs w:val="16"/>
              </w:rPr>
              <w:t xml:space="preserve">WHAT WAS APPROVED</w:t>
            </w:r>
          </w:p>
        </w:tc>
        <w:tc>
          <w:tcPr>
            <w:tcW w:type="dxa" w:w="1800"/>
            <w:tcBorders>
              <w:top w:val="none" w:color="FFFFFF" w:sz="0"/>
              <w:left w:val="none" w:color="FFFFFF" w:sz="0"/>
              <w:bottom w:val="single" w:color="C9D1CC" w:sz="4"/>
              <w:right w:val="none" w:color="FFFFFF" w:sz="0"/>
            </w:tcBorders>
          </w:tcPr>
          <w:p>
            <w:pPr>
              <w:spacing w:after="40"/>
            </w:pPr>
            <w:r>
              <w:rPr>
                <w:b/>
                <w:bCs/>
                <w:color w:val="5A665F"/>
                <w:spacing w:val="20"/>
                <w:sz w:val="16"/>
                <w:szCs w:val="16"/>
              </w:rPr>
              <w:t xml:space="preserve">DATE</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Consent &amp; scope</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Personal tool for my sole use; my first name may appear in the writing prompt</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15, 2026</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Compliance guardrails</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Banned-phrase list; strictly no securities or investment advice, ever</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15, 2026</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Judgment rules</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The thresholds that decide the daily economic read (“soft landing,” etc.)</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16, 2026</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Indicator set</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The seven core measures the briefing is built on</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16, 2026</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Voice</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Tone of the daily briefing (“prepared friend at dinner”)</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17, 2026</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Launch compliance package</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All four pre-launch confirmations, re-signed in writing before go-live</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18, 2026</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Market data boundary</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Market prices shown for context only; kept away from the writing engine</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19, 2026</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Context expansion</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Oil, the dollar, and the yield curve added as background for the writer</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22, 2026</w:t>
            </w:r>
          </w:p>
        </w:tc>
      </w:tr>
      <w:tr>
        <w:tc>
          <w:tcPr>
            <w:tcW w:type="dxa" w:w="2400"/>
            <w:tcBorders>
              <w:top w:val="none" w:color="FFFFFF" w:sz="0"/>
              <w:left w:val="none" w:color="FFFFFF" w:sz="0"/>
              <w:bottom w:val="single" w:color="C9D1CC" w:sz="4"/>
              <w:right w:val="none" w:color="FFFFFF" w:sz="0"/>
            </w:tcBorders>
          </w:tcPr>
          <w:p>
            <w:pPr>
              <w:spacing w:after="40" w:before="40"/>
            </w:pPr>
            <w:r>
              <w:rPr>
                <w:b/>
                <w:bCs/>
                <w:color w:val="1A211D"/>
                <w:sz w:val="19"/>
                <w:szCs w:val="19"/>
              </w:rPr>
              <w:t xml:space="preserve">Backdrop note</w:t>
            </w:r>
          </w:p>
        </w:tc>
        <w:tc>
          <w:tcPr>
            <w:tcW w:type="dxa" w:w="516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The daily “Today:” line may surface a market-backdrop move on quiet days</w:t>
            </w:r>
          </w:p>
        </w:tc>
        <w:tc>
          <w:tcPr>
            <w:tcW w:type="dxa" w:w="1800"/>
            <w:tcBorders>
              <w:top w:val="none" w:color="FFFFFF" w:sz="0"/>
              <w:left w:val="none" w:color="FFFFFF" w:sz="0"/>
              <w:bottom w:val="single" w:color="C9D1CC" w:sz="4"/>
              <w:right w:val="none" w:color="FFFFFF" w:sz="0"/>
            </w:tcBorders>
          </w:tcPr>
          <w:p>
            <w:pPr>
              <w:spacing w:after="40" w:before="40"/>
            </w:pPr>
            <w:r>
              <w:rPr>
                <w:b w:val="false"/>
                <w:bCs w:val="false"/>
                <w:color w:val="1A211D"/>
                <w:sz w:val="19"/>
                <w:szCs w:val="19"/>
              </w:rPr>
              <w:t xml:space="preserve">Jun 24, 2026</w:t>
            </w:r>
          </w:p>
        </w:tc>
      </w:tr>
    </w:tbl>
    <w:p>
      <w:pPr>
        <w:spacing w:after="60" w:before="280"/>
      </w:pPr>
      <w:r>
        <w:rPr>
          <w:b/>
          <w:bCs/>
          <w:color w:val="2E7D5B"/>
          <w:spacing w:val="24"/>
          <w:sz w:val="17"/>
          <w:szCs w:val="17"/>
        </w:rPr>
        <w:t xml:space="preserve">RISK POSTURE</w:t>
      </w:r>
    </w:p>
    <w:p>
      <w:pPr>
        <w:spacing w:after="100" w:line="264"/>
      </w:pPr>
      <w:r>
        <w:rPr>
          <w:color w:val="1A211D"/>
          <w:sz w:val="21"/>
          <w:szCs w:val="21"/>
        </w:rPr>
        <w:t xml:space="preserve">The main risks are managed as follows. Bad data: figures are checked against plausible ranges before publication; a suspect number stops the update and the last good briefing stays up. Machine error: every briefing passes seventeen automated checks, and any wording change to the writing engine must pass a twelve-case quality audit and CEO sign-off before going live. Vendor dependence: all sources are free government data; the July review confirmed no vendor holds leverage over us. Cost: none to lose.</w:t>
      </w:r>
    </w:p>
    <w:p>
      <w:pPr>
        <w:spacing w:after="60" w:before="280"/>
      </w:pPr>
      <w:r>
        <w:rPr>
          <w:b/>
          <w:bCs/>
          <w:color w:val="2E7D5B"/>
          <w:spacing w:val="24"/>
          <w:sz w:val="17"/>
          <w:szCs w:val="17"/>
        </w:rPr>
        <w:t xml:space="preserve">DECISION REQUESTED</w:t>
      </w:r>
    </w:p>
    <w:p>
      <w:pPr>
        <w:spacing w:after="100" w:line="264"/>
      </w:pPr>
      <w:r>
        <w:rPr>
          <w:b/>
          <w:bCs/>
          <w:color w:val="1A211D"/>
          <w:sz w:val="21"/>
          <w:szCs w:val="21"/>
        </w:rPr>
        <w:t xml:space="preserve">1.  Ratify this charter as the governing document for the project.</w:t>
      </w:r>
    </w:p>
    <w:p>
      <w:pPr>
        <w:spacing w:after="100" w:line="264"/>
      </w:pPr>
      <w:r>
        <w:rPr>
          <w:b/>
          <w:bCs/>
          <w:color w:val="1A211D"/>
          <w:sz w:val="21"/>
          <w:szCs w:val="21"/>
        </w:rPr>
        <w:t xml:space="preserve">2.  Approve the pending writing upgrade: each daily numbered line would end with a short plain-language cue to what the number means (e.g. “— the job market is holding its ground”). It has passed quality audit on substance and awaits your voice approval; nothing ships without it.</w:t>
      </w:r>
    </w:p>
    <w:p>
      <w:pPr>
        <w:spacing w:after="60" w:before="280"/>
      </w:pPr>
      <w:r>
        <w:rPr>
          <w:b/>
          <w:bCs/>
          <w:color w:val="2E7D5B"/>
          <w:spacing w:val="24"/>
          <w:sz w:val="17"/>
          <w:szCs w:val="17"/>
        </w:rPr>
        <w:t xml:space="preserve">APPROVAL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400"/>
        <w:gridCol w:w="2600"/>
      </w:tblGrid>
      <w:tr>
        <w:tc>
          <w:tcPr>
            <w:tcW w:type="dxa" w:w="5400"/>
            <w:tcBorders>
              <w:top w:val="none" w:color="FFFFFF" w:sz="0"/>
              <w:left w:val="none" w:color="FFFFFF" w:sz="0"/>
              <w:bottom w:val="none" w:color="FFFFFF" w:sz="0"/>
              <w:right w:val="none" w:color="FFFFFF" w:sz="0"/>
            </w:tcBorders>
          </w:tcPr>
          <w:p>
            <w:pPr>
              <w:pBdr>
                <w:bottom w:val="single" w:color="1A211D" w:sz="6"/>
              </w:pBdr>
              <w:spacing w:after="40" w:before="500"/>
            </w:pPr>
            <w:r>
              <w:rPr>
                <w:color w:val="5A665F"/>
                <w:sz w:val="21"/>
                <w:szCs w:val="21"/>
              </w:rPr>
              <w:t xml:space="preserve">X</w:t>
            </w:r>
          </w:p>
          <w:p>
            <w:r>
              <w:rPr>
                <w:b/>
                <w:bCs/>
                <w:color w:val="1A211D"/>
                <w:sz w:val="21"/>
                <w:szCs w:val="21"/>
              </w:rPr>
              <w:t xml:space="preserve">Bruce Yazdani</w:t>
            </w:r>
          </w:p>
          <w:p>
            <w:r>
              <w:rPr>
                <w:color w:val="5A665F"/>
                <w:sz w:val="19"/>
                <w:szCs w:val="19"/>
              </w:rPr>
              <w:t xml:space="preserve">Chief Executive Officer, Bruce Yazdani, LLC</w:t>
            </w:r>
          </w:p>
        </w:tc>
        <w:tc>
          <w:tcPr>
            <w:tcW w:type="dxa" w:w="2600"/>
            <w:tcBorders>
              <w:top w:val="none" w:color="FFFFFF" w:sz="0"/>
              <w:left w:val="none" w:color="FFFFFF" w:sz="0"/>
              <w:bottom w:val="none" w:color="FFFFFF" w:sz="0"/>
              <w:right w:val="none" w:color="FFFFFF" w:sz="0"/>
            </w:tcBorders>
          </w:tcPr>
          <w:p>
            <w:pPr>
              <w:pBdr>
                <w:bottom w:val="single" w:color="1A211D" w:sz="6"/>
              </w:pBdr>
              <w:spacing w:after="40" w:before="500"/>
            </w:pPr>
            <w:r>
              <w:rPr>
                <w:sz w:val="21"/>
                <w:szCs w:val="21"/>
              </w:rPr>
              <w:t xml:space="preserve"> </w:t>
            </w:r>
          </w:p>
          <w:p>
            <w:r>
              <w:rPr>
                <w:color w:val="5A665F"/>
                <w:sz w:val="19"/>
                <w:szCs w:val="19"/>
              </w:rPr>
              <w:t xml:space="preserve">Date</w:t>
            </w:r>
          </w:p>
        </w:tc>
      </w:tr>
      <w:tr>
        <w:tc>
          <w:tcPr>
            <w:tcW w:type="dxa" w:w="5400"/>
            <w:tcBorders>
              <w:top w:val="none" w:color="FFFFFF" w:sz="0"/>
              <w:left w:val="none" w:color="FFFFFF" w:sz="0"/>
              <w:bottom w:val="none" w:color="FFFFFF" w:sz="0"/>
              <w:right w:val="none" w:color="FFFFFF" w:sz="0"/>
            </w:tcBorders>
          </w:tcPr>
          <w:p>
            <w:pPr>
              <w:pBdr>
                <w:bottom w:val="single" w:color="1A211D" w:sz="6"/>
              </w:pBdr>
              <w:spacing w:after="40" w:before="500"/>
            </w:pPr>
            <w:r>
              <w:rPr>
                <w:color w:val="5A665F"/>
                <w:sz w:val="21"/>
                <w:szCs w:val="21"/>
              </w:rPr>
              <w:t xml:space="preserve">X</w:t>
            </w:r>
          </w:p>
          <w:p>
            <w:r>
              <w:rPr>
                <w:b/>
                <w:bCs/>
                <w:color w:val="1A211D"/>
                <w:sz w:val="21"/>
                <w:szCs w:val="21"/>
              </w:rPr>
              <w:t xml:space="preserve">Arash Yazdani</w:t>
            </w:r>
          </w:p>
          <w:p>
            <w:r>
              <w:rPr>
                <w:color w:val="5A665F"/>
                <w:sz w:val="19"/>
                <w:szCs w:val="19"/>
              </w:rPr>
              <w:t xml:space="preserve">Operator</w:t>
            </w:r>
          </w:p>
        </w:tc>
        <w:tc>
          <w:tcPr>
            <w:tcW w:type="dxa" w:w="2600"/>
            <w:tcBorders>
              <w:top w:val="none" w:color="FFFFFF" w:sz="0"/>
              <w:left w:val="none" w:color="FFFFFF" w:sz="0"/>
              <w:bottom w:val="none" w:color="FFFFFF" w:sz="0"/>
              <w:right w:val="none" w:color="FFFFFF" w:sz="0"/>
            </w:tcBorders>
          </w:tcPr>
          <w:p>
            <w:pPr>
              <w:pBdr>
                <w:bottom w:val="single" w:color="1A211D" w:sz="6"/>
              </w:pBdr>
              <w:spacing w:after="40" w:before="500"/>
            </w:pPr>
            <w:r>
              <w:rPr>
                <w:sz w:val="21"/>
                <w:szCs w:val="21"/>
              </w:rPr>
              <w:t xml:space="preserve"> </w:t>
            </w:r>
          </w:p>
          <w:p>
            <w:r>
              <w:rPr>
                <w:color w:val="5A665F"/>
                <w:sz w:val="19"/>
                <w:szCs w:val="19"/>
              </w:rPr>
              <w:t xml:space="preserve">Date</w:t>
            </w:r>
          </w:p>
        </w:tc>
      </w:tr>
    </w:tbl>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21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2026-07-15T01:02:05.232Z</dcterms:created>
  <dcterms:modified xsi:type="dcterms:W3CDTF">2026-07-15T01:02:05.233Z</dcterms:modified>
</cp:coreProperties>
</file>

<file path=docProps/custom.xml><?xml version="1.0" encoding="utf-8"?>
<Properties xmlns="http://schemas.openxmlformats.org/officeDocument/2006/custom-properties" xmlns:vt="http://schemas.openxmlformats.org/officeDocument/2006/docPropsVTypes"/>
</file>