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5A6660"/>
          <w:spacing w:val="30"/>
          <w:sz w:val="17"/>
          <w:szCs w:val="17"/>
        </w:rPr>
        <w:t xml:space="preserve">BRUCE YAZDANI, LLC</w:t>
      </w:r>
    </w:p>
    <w:p>
      <w:pPr>
        <w:spacing w:after="40"/>
      </w:pPr>
      <w:r>
        <w:rPr>
          <w:b/>
          <w:bCs/>
          <w:color w:val="1A211D"/>
          <w:sz w:val="32"/>
          <w:szCs w:val="32"/>
        </w:rPr>
        <w:t xml:space="preserve">Project Charter — The Daily Macro Briefing</w:t>
      </w:r>
    </w:p>
    <w:p>
      <w:pPr>
        <w:pBdr>
          <w:bottom w:val="single" w:color="C9CFC9" w:sz="4"/>
        </w:pBdr>
        <w:spacing w:after="140"/>
      </w:pPr>
      <w:r>
        <w:rPr>
          <w:color w:val="5A6660"/>
          <w:sz w:val="16"/>
          <w:szCs w:val="16"/>
        </w:rPr>
        <w:t xml:space="preserve">Sponsor: Bruce Yazdani, CEO   ·   Operator: Arash Yazdani   ·   Revision 2 — July 16, 2026   ·   Supersedes July 14 draft per CEO feedback</w:t>
      </w:r>
    </w:p>
    <w:p>
      <w:pPr>
        <w:spacing w:after="60" w:before="260"/>
      </w:pPr>
      <w:r>
        <w:rPr>
          <w:rFonts w:ascii="Helvetica Neue" w:cs="Helvetica Neue" w:eastAsia="Helvetica Neue" w:hAnsi="Helvetica Neue"/>
          <w:b/>
          <w:bCs/>
          <w:color w:val="2E7D5B"/>
          <w:spacing w:val="24"/>
          <w:sz w:val="17"/>
          <w:szCs w:val="17"/>
        </w:rPr>
        <w:t xml:space="preserve">PURPOSE</w:t>
      </w:r>
    </w:p>
    <w:p>
      <w:pPr>
        <w:spacing w:after="90" w:line="252"/>
      </w:pPr>
      <w:r>
        <w:rPr>
          <w:rFonts w:ascii="Helvetica Neue" w:cs="Helvetica Neue" w:eastAsia="Helvetica Neue" w:hAnsi="Helvetica Neue"/>
          <w:color w:val="1A211D"/>
          <w:sz w:val="19"/>
          <w:szCs w:val="19"/>
        </w:rPr>
        <w:t xml:space="preserve">Give the CEO one trustworthy, private read on the U.S. economy every day — short enough to absorb in ten seconds, written well enough to quote out loud — without subscriptions, staff, or time spent scanning financial media. The product is a private web app that updates itself twice a day (9:45 AM and 5:30 PM ET) with a plain-English briefing and a dashboard of economic measures with ten years of history behind every figure.</w:t>
      </w:r>
    </w:p>
    <w:p>
      <w:pPr>
        <w:spacing w:after="60" w:before="260"/>
      </w:pPr>
      <w:r>
        <w:rPr>
          <w:rFonts w:ascii="Helvetica Neue" w:cs="Helvetica Neue" w:eastAsia="Helvetica Neue" w:hAnsi="Helvetica Neue"/>
          <w:b/>
          <w:bCs/>
          <w:color w:val="2E7D5B"/>
          <w:spacing w:val="24"/>
          <w:sz w:val="17"/>
          <w:szCs w:val="17"/>
        </w:rPr>
        <w:t xml:space="preserve">BENEFITS TO THE CLIENT</w:t>
      </w:r>
    </w:p>
    <w:p>
      <w:pPr>
        <w:pStyle w:val="ListParagraph"/>
        <w:numPr>
          <w:ilvl w:val="0"/>
          <w:numId w:val="2"/>
        </w:numPr>
        <w:spacing w:after="50" w:line="248"/>
      </w:pPr>
      <w:r>
        <w:rPr>
          <w:rFonts w:ascii="Helvetica Neue" w:cs="Helvetica Neue" w:eastAsia="Helvetica Neue" w:hAnsi="Helvetica Neue"/>
          <w:b/>
          <w:bCs/>
          <w:color w:val="1A211D"/>
          <w:sz w:val="19"/>
          <w:szCs w:val="19"/>
        </w:rPr>
        <w:t xml:space="preserve">Time. </w:t>
      </w:r>
      <w:r>
        <w:rPr>
          <w:rFonts w:ascii="Helvetica Neue" w:cs="Helvetica Neue" w:eastAsia="Helvetica Neue" w:hAnsi="Helvetica Neue"/>
          <w:color w:val="1A211D"/>
          <w:sz w:val="19"/>
          <w:szCs w:val="19"/>
        </w:rPr>
        <w:t xml:space="preserve">One ten-second read replaces scanning financial media. Delivered before the market open and after the close, every day, unattended.</w:t>
      </w:r>
    </w:p>
    <w:p>
      <w:pPr>
        <w:pStyle w:val="ListParagraph"/>
        <w:numPr>
          <w:ilvl w:val="0"/>
          <w:numId w:val="2"/>
        </w:numPr>
        <w:spacing w:after="50" w:line="248"/>
      </w:pPr>
      <w:r>
        <w:rPr>
          <w:rFonts w:ascii="Helvetica Neue" w:cs="Helvetica Neue" w:eastAsia="Helvetica Neue" w:hAnsi="Helvetica Neue"/>
          <w:b/>
          <w:bCs/>
          <w:color w:val="1A211D"/>
          <w:sz w:val="19"/>
          <w:szCs w:val="19"/>
        </w:rPr>
        <w:t xml:space="preserve">Confidence. </w:t>
      </w:r>
      <w:r>
        <w:rPr>
          <w:rFonts w:ascii="Helvetica Neue" w:cs="Helvetica Neue" w:eastAsia="Helvetica Neue" w:hAnsi="Helvetica Neue"/>
          <w:color w:val="1A211D"/>
          <w:sz w:val="19"/>
          <w:szCs w:val="19"/>
        </w:rPr>
        <w:t xml:space="preserve">The daily judgment comes from fixed, pre-approved rules — never machine improvisation — and every number is checked against its official source before publication.</w:t>
      </w:r>
    </w:p>
    <w:p>
      <w:pPr>
        <w:pStyle w:val="ListParagraph"/>
        <w:numPr>
          <w:ilvl w:val="0"/>
          <w:numId w:val="2"/>
        </w:numPr>
        <w:spacing w:after="50" w:line="248"/>
      </w:pPr>
      <w:r>
        <w:rPr>
          <w:rFonts w:ascii="Helvetica Neue" w:cs="Helvetica Neue" w:eastAsia="Helvetica Neue" w:hAnsi="Helvetica Neue"/>
          <w:b/>
          <w:bCs/>
          <w:color w:val="1A211D"/>
          <w:sz w:val="19"/>
          <w:szCs w:val="19"/>
        </w:rPr>
        <w:t xml:space="preserve">Conversation-ready. </w:t>
      </w:r>
      <w:r>
        <w:rPr>
          <w:rFonts w:ascii="Helvetica Neue" w:cs="Helvetica Neue" w:eastAsia="Helvetica Neue" w:hAnsi="Helvetica Neue"/>
          <w:color w:val="1A211D"/>
          <w:sz w:val="19"/>
          <w:szCs w:val="19"/>
        </w:rPr>
        <w:t xml:space="preserve">Each briefing is written to be quoted aloud, with the numbers phrased for speech and a cue line whenever something moved in the last 24 hours.</w:t>
      </w:r>
    </w:p>
    <w:p>
      <w:pPr>
        <w:pStyle w:val="ListParagraph"/>
        <w:numPr>
          <w:ilvl w:val="0"/>
          <w:numId w:val="2"/>
        </w:numPr>
        <w:spacing w:after="50" w:line="248"/>
      </w:pPr>
      <w:r>
        <w:rPr>
          <w:rFonts w:ascii="Helvetica Neue" w:cs="Helvetica Neue" w:eastAsia="Helvetica Neue" w:hAnsi="Helvetica Neue"/>
          <w:b/>
          <w:bCs/>
          <w:color w:val="1A211D"/>
          <w:sz w:val="19"/>
          <w:szCs w:val="19"/>
        </w:rPr>
        <w:t xml:space="preserve">Zero cost, zero leverage. </w:t>
      </w:r>
      <w:r>
        <w:rPr>
          <w:rFonts w:ascii="Helvetica Neue" w:cs="Helvetica Neue" w:eastAsia="Helvetica Neue" w:hAnsi="Helvetica Neue"/>
          <w:color w:val="1A211D"/>
          <w:sz w:val="19"/>
          <w:szCs w:val="19"/>
        </w:rPr>
        <w:t xml:space="preserve">Every data source and every piece of infrastructure is free, with no payment method on file anywhere. A July 2026 marketplace review scored our sources 9.3/10 against every free alternative; no vendor holds leverage over us.</w:t>
      </w:r>
    </w:p>
    <w:p>
      <w:pPr>
        <w:pStyle w:val="ListParagraph"/>
        <w:numPr>
          <w:ilvl w:val="0"/>
          <w:numId w:val="2"/>
        </w:numPr>
        <w:spacing w:after="50" w:line="248"/>
      </w:pPr>
      <w:r>
        <w:rPr>
          <w:rFonts w:ascii="Helvetica Neue" w:cs="Helvetica Neue" w:eastAsia="Helvetica Neue" w:hAnsi="Helvetica Neue"/>
          <w:b/>
          <w:bCs/>
          <w:color w:val="1A211D"/>
          <w:sz w:val="19"/>
          <w:szCs w:val="19"/>
        </w:rPr>
        <w:t xml:space="preserve">Private and compliant. </w:t>
      </w:r>
      <w:r>
        <w:rPr>
          <w:rFonts w:ascii="Helvetica Neue" w:cs="Helvetica Neue" w:eastAsia="Helvetica Neue" w:hAnsi="Helvetica Neue"/>
          <w:color w:val="1A211D"/>
          <w:sz w:val="19"/>
          <w:szCs w:val="19"/>
        </w:rPr>
        <w:t xml:space="preserve">Single-user by design, which keeps the product clear of investment-adviser regulation. Descriptive only — the safeguards below make that structural, not aspirational.</w:t>
      </w:r>
    </w:p>
    <w:p>
      <w:pPr>
        <w:spacing w:after="60" w:before="260"/>
      </w:pPr>
      <w:r>
        <w:rPr>
          <w:rFonts w:ascii="Helvetica Neue" w:cs="Helvetica Neue" w:eastAsia="Helvetica Neue" w:hAnsi="Helvetica Neue"/>
          <w:b/>
          <w:bCs/>
          <w:color w:val="2E7D5B"/>
          <w:spacing w:val="24"/>
          <w:sz w:val="17"/>
          <w:szCs w:val="17"/>
        </w:rPr>
        <w:t xml:space="preserve">THE DATA SET, BY CATEGORY</w:t>
      </w:r>
    </w:p>
    <w:p>
      <w:pPr>
        <w:spacing w:after="60" w:line="252"/>
      </w:pPr>
      <w:r>
        <w:rPr>
          <w:rFonts w:ascii="Helvetica Neue" w:cs="Helvetica Neue" w:eastAsia="Helvetica Neue" w:hAnsi="Helvetica Neue"/>
          <w:b/>
          <w:bCs/>
          <w:color w:val="1A211D"/>
          <w:sz w:val="19"/>
          <w:szCs w:val="19"/>
        </w:rPr>
        <w:t xml:space="preserve">Growth &amp; debt. </w:t>
      </w:r>
      <w:r>
        <w:rPr>
          <w:rFonts w:ascii="Helvetica Neue" w:cs="Helvetica Neue" w:eastAsia="Helvetica Neue" w:hAnsi="Helvetica Neue"/>
          <w:color w:val="1A211D"/>
          <w:sz w:val="19"/>
          <w:szCs w:val="19"/>
        </w:rPr>
        <w:t xml:space="preserve">Economic output (GDP, shown as the economy's actual size with growth alongside) and the federal debt load.</w:t>
      </w:r>
    </w:p>
    <w:p>
      <w:pPr>
        <w:spacing w:after="60" w:line="252"/>
      </w:pPr>
      <w:r>
        <w:rPr>
          <w:rFonts w:ascii="Helvetica Neue" w:cs="Helvetica Neue" w:eastAsia="Helvetica Neue" w:hAnsi="Helvetica Neue"/>
          <w:b/>
          <w:bCs/>
          <w:color w:val="1A211D"/>
          <w:sz w:val="19"/>
          <w:szCs w:val="19"/>
        </w:rPr>
        <w:t xml:space="preserve">Inflation. </w:t>
      </w:r>
      <w:r>
        <w:rPr>
          <w:rFonts w:ascii="Helvetica Neue" w:cs="Helvetica Neue" w:eastAsia="Helvetica Neue" w:hAnsi="Helvetica Neue"/>
          <w:color w:val="1A211D"/>
          <w:sz w:val="19"/>
          <w:szCs w:val="19"/>
        </w:rPr>
        <w:t xml:space="preserve">Headline CPI and core inflation.</w:t>
      </w:r>
    </w:p>
    <w:p>
      <w:pPr>
        <w:spacing w:after="60" w:line="252"/>
      </w:pPr>
      <w:r>
        <w:rPr>
          <w:rFonts w:ascii="Helvetica Neue" w:cs="Helvetica Neue" w:eastAsia="Helvetica Neue" w:hAnsi="Helvetica Neue"/>
          <w:b/>
          <w:bCs/>
          <w:color w:val="1A211D"/>
          <w:sz w:val="19"/>
          <w:szCs w:val="19"/>
        </w:rPr>
        <w:t xml:space="preserve">Interest rates &amp; policy. </w:t>
      </w:r>
      <w:r>
        <w:rPr>
          <w:rFonts w:ascii="Helvetica Neue" w:cs="Helvetica Neue" w:eastAsia="Helvetica Neue" w:hAnsi="Helvetica Neue"/>
          <w:color w:val="1A211D"/>
          <w:sz w:val="19"/>
          <w:szCs w:val="19"/>
        </w:rPr>
        <w:t xml:space="preserve">Fed funds; the 2-year and 10-year Treasury yields and their spread; the real federal funds rate, indicating the true restrictive or accommodative stance of monetary policy; the real 10-year Treasury yield, net of inflation expectations; and the 10-year TIPS yield, representing the economy's true inflation-adjusted cost of capital.</w:t>
      </w:r>
    </w:p>
    <w:p>
      <w:pPr>
        <w:spacing w:after="60" w:line="252"/>
      </w:pPr>
      <w:r>
        <w:rPr>
          <w:rFonts w:ascii="Helvetica Neue" w:cs="Helvetica Neue" w:eastAsia="Helvetica Neue" w:hAnsi="Helvetica Neue"/>
          <w:b/>
          <w:bCs/>
          <w:color w:val="1A211D"/>
          <w:sz w:val="19"/>
          <w:szCs w:val="19"/>
        </w:rPr>
        <w:t xml:space="preserve">Labor. </w:t>
      </w:r>
      <w:r>
        <w:rPr>
          <w:rFonts w:ascii="Helvetica Neue" w:cs="Helvetica Neue" w:eastAsia="Helvetica Neue" w:hAnsi="Helvetica Neue"/>
          <w:color w:val="1A211D"/>
          <w:sz w:val="19"/>
          <w:szCs w:val="19"/>
        </w:rPr>
        <w:t xml:space="preserve">Jobless claims, unemployment rate, participation, and monthly payrolls.</w:t>
      </w:r>
    </w:p>
    <w:p>
      <w:pPr>
        <w:spacing w:after="60" w:line="252"/>
      </w:pPr>
      <w:r>
        <w:rPr>
          <w:rFonts w:ascii="Helvetica Neue" w:cs="Helvetica Neue" w:eastAsia="Helvetica Neue" w:hAnsi="Helvetica Neue"/>
          <w:b/>
          <w:bCs/>
          <w:color w:val="1A211D"/>
          <w:sz w:val="19"/>
          <w:szCs w:val="19"/>
        </w:rPr>
        <w:t xml:space="preserve">Activity &amp; sentiment. </w:t>
      </w:r>
      <w:r>
        <w:rPr>
          <w:rFonts w:ascii="Helvetica Neue" w:cs="Helvetica Neue" w:eastAsia="Helvetica Neue" w:hAnsi="Helvetica Neue"/>
          <w:color w:val="1A211D"/>
          <w:sz w:val="19"/>
          <w:szCs w:val="19"/>
        </w:rPr>
        <w:t xml:space="preserve">Consumer sentiment; capacity utilization, measuring the active share of the nation's factory base; headcount trends within the manufacturing sector; and employment levels across the construction industry. (Manufacturing PMI remains excluded: ISM licenses it commercially and no free source exists.)</w:t>
      </w:r>
    </w:p>
    <w:p>
      <w:pPr>
        <w:spacing w:after="60" w:line="252"/>
      </w:pPr>
      <w:r>
        <w:rPr>
          <w:rFonts w:ascii="Helvetica Neue" w:cs="Helvetica Neue" w:eastAsia="Helvetica Neue" w:hAnsi="Helvetica Neue"/>
          <w:b/>
          <w:bCs/>
          <w:color w:val="1A211D"/>
          <w:sz w:val="19"/>
          <w:szCs w:val="19"/>
        </w:rPr>
        <w:t xml:space="preserve">Housing. </w:t>
      </w:r>
      <w:r>
        <w:rPr>
          <w:rFonts w:ascii="Helvetica Neue" w:cs="Helvetica Neue" w:eastAsia="Helvetica Neue" w:hAnsi="Helvetica Neue"/>
          <w:color w:val="1A211D"/>
          <w:sz w:val="19"/>
          <w:szCs w:val="19"/>
        </w:rPr>
        <w:t xml:space="preserve">Monthly starts and 30-year fixed mortgage rates.</w:t>
      </w:r>
    </w:p>
    <w:p>
      <w:pPr>
        <w:spacing w:after="60" w:line="252"/>
      </w:pPr>
      <w:r>
        <w:rPr>
          <w:rFonts w:ascii="Helvetica Neue" w:cs="Helvetica Neue" w:eastAsia="Helvetica Neue" w:hAnsi="Helvetica Neue"/>
          <w:b/>
          <w:bCs/>
          <w:color w:val="1A211D"/>
          <w:sz w:val="19"/>
          <w:szCs w:val="19"/>
        </w:rPr>
        <w:t xml:space="preserve">Markets — context only. </w:t>
      </w:r>
      <w:r>
        <w:rPr>
          <w:rFonts w:ascii="Helvetica Neue" w:cs="Helvetica Neue" w:eastAsia="Helvetica Neue" w:hAnsi="Helvetica Neue"/>
          <w:color w:val="1A211D"/>
          <w:sz w:val="19"/>
          <w:szCs w:val="19"/>
        </w:rPr>
        <w:t xml:space="preserve">Total market capitalization of U.S. public equities; current credit spreads across the market (if a 10-year Treasury yields 4% and a comparable high-yield corporate bond yields 7%, the credit spread is 3%, or 300 basis points); the Nasdaq and S&amp;P 500; the VIX volatility index; Brent crude prices, signaling energy expenses and inflationary forces (replacing WTI per CEO direction); the trade-weighted US Dollar index, reflecting import costs and global liquidity; and — pending the source decision in Phase 2 below — gold (GLD), small-cap equities (IWM, Russell 2000), and social sentiment (BUZZ).</w:t>
      </w:r>
    </w:p>
    <w:p>
      <w:pPr>
        <w:spacing w:after="60" w:line="252"/>
      </w:pPr>
      <w:r>
        <w:rPr>
          <w:rFonts w:ascii="Helvetica Neue" w:cs="Helvetica Neue" w:eastAsia="Helvetica Neue" w:hAnsi="Helvetica Neue"/>
          <w:b/>
          <w:bCs/>
          <w:color w:val="1A211D"/>
          <w:sz w:val="19"/>
          <w:szCs w:val="19"/>
        </w:rPr>
        <w:t xml:space="preserve">The summary judgment. </w:t>
      </w:r>
      <w:r>
        <w:rPr>
          <w:rFonts w:ascii="Helvetica Neue" w:cs="Helvetica Neue" w:eastAsia="Helvetica Neue" w:hAnsi="Helvetica Neue"/>
          <w:color w:val="1A211D"/>
          <w:sz w:val="19"/>
          <w:szCs w:val="19"/>
        </w:rPr>
        <w:t xml:space="preserve">A standing economic read derived from the above (“soft landing,” “slowdown,” “stagflation risk” …), produced by the approved rules.</w:t>
      </w:r>
    </w:p>
    <w:p>
      <w:pPr>
        <w:spacing w:after="90" w:line="252"/>
      </w:pPr>
      <w:r>
        <w:rPr>
          <w:rFonts w:ascii="Helvetica Neue" w:cs="Helvetica Neue" w:eastAsia="Helvetica Neue" w:hAnsi="Helvetica Neue"/>
          <w:b/>
          <w:bCs/>
          <w:color w:val="5A6660"/>
          <w:sz w:val="19"/>
          <w:szCs w:val="19"/>
        </w:rPr>
        <w:t xml:space="preserve">Removed at CEO direction (July 16): </w:t>
      </w:r>
      <w:r>
        <w:rPr>
          <w:rFonts w:ascii="Helvetica Neue" w:cs="Helvetica Neue" w:eastAsia="Helvetica Neue" w:hAnsi="Helvetica Neue"/>
          <w:color w:val="5A6660"/>
          <w:sz w:val="19"/>
          <w:szCs w:val="19"/>
        </w:rPr>
        <w:t xml:space="preserve">total volume of retail sales; annual shifts in industrial production; “broad price changes.”</w:t>
      </w:r>
    </w:p>
    <w:p>
      <w:pPr>
        <w:spacing w:after="60" w:before="260"/>
      </w:pPr>
      <w:r>
        <w:rPr>
          <w:rFonts w:ascii="Helvetica Neue" w:cs="Helvetica Neue" w:eastAsia="Helvetica Neue" w:hAnsi="Helvetica Neue"/>
          <w:b/>
          <w:bCs/>
          <w:color w:val="2E7D5B"/>
          <w:spacing w:val="24"/>
          <w:sz w:val="17"/>
          <w:szCs w:val="17"/>
        </w:rPr>
        <w:t xml:space="preserve">WHAT THIS IS NOT</w:t>
      </w:r>
    </w:p>
    <w:p>
      <w:pPr>
        <w:spacing w:after="90" w:line="252"/>
      </w:pPr>
      <w:r>
        <w:rPr>
          <w:rFonts w:ascii="Helvetica Neue" w:cs="Helvetica Neue" w:eastAsia="Helvetica Neue" w:hAnsi="Helvetica Neue"/>
          <w:color w:val="1A211D"/>
          <w:sz w:val="19"/>
          <w:szCs w:val="19"/>
        </w:rPr>
        <w:t xml:space="preserve">This tool describes the economy; it never advises. It will not say buy, sell, or recommend, and automated safeguards block any such language before publication. Market prices — including the new fund-based rows — are displayed for context only and are kept away from the writing engine. It is a single-user product for the CEO alone, not a client-facing service. Any change to that posture is a separate decision that returns to this desk.</w:t>
      </w:r>
    </w:p>
    <w:p>
      <w:r>
        <w:br w:type="page"/>
      </w:r>
    </w:p>
    <w:p>
      <w:pPr>
        <w:spacing w:after="60" w:before="260"/>
      </w:pPr>
      <w:r>
        <w:rPr>
          <w:rFonts w:ascii="Helvetica Neue" w:cs="Helvetica Neue" w:eastAsia="Helvetica Neue" w:hAnsi="Helvetica Neue"/>
          <w:b/>
          <w:bCs/>
          <w:color w:val="2E7D5B"/>
          <w:spacing w:val="24"/>
          <w:sz w:val="17"/>
          <w:szCs w:val="17"/>
        </w:rPr>
        <w:t xml:space="preserve">METHODOLOGY — HOW WE BUILD, TEST, AND SHIP</w:t>
      </w:r>
    </w:p>
    <w:p>
      <w:pPr>
        <w:spacing w:after="60" w:line="252"/>
      </w:pPr>
      <w:r>
        <w:rPr>
          <w:rFonts w:ascii="Helvetica Neue" w:cs="Helvetica Neue" w:eastAsia="Helvetica Neue" w:hAnsi="Helvetica Neue"/>
          <w:b/>
          <w:bCs/>
          <w:color w:val="1A211D"/>
          <w:sz w:val="19"/>
          <w:szCs w:val="19"/>
        </w:rPr>
        <w:t xml:space="preserve">Gated delivery. </w:t>
      </w:r>
      <w:r>
        <w:rPr>
          <w:rFonts w:ascii="Helvetica Neue" w:cs="Helvetica Neue" w:eastAsia="Helvetica Neue" w:hAnsi="Helvetica Neue"/>
          <w:color w:val="1A211D"/>
          <w:sz w:val="19"/>
          <w:szCs w:val="19"/>
        </w:rPr>
        <w:t xml:space="preserve">Work moves through fixed gates: the CEO signs the design decision in writing; the operator builds against it; three layers of testing must pass; then production updates itself. Nothing that touches trust ships on judgment alone.</w:t>
      </w:r>
    </w:p>
    <w:p>
      <w:pPr>
        <w:spacing w:after="60" w:line="252"/>
      </w:pPr>
      <w:r>
        <w:rPr>
          <w:rFonts w:ascii="Helvetica Neue" w:cs="Helvetica Neue" w:eastAsia="Helvetica Neue" w:hAnsi="Helvetica Neue"/>
          <w:b/>
          <w:bCs/>
          <w:color w:val="1A211D"/>
          <w:sz w:val="19"/>
          <w:szCs w:val="19"/>
        </w:rPr>
        <w:t xml:space="preserve">Three layers of testing. </w:t>
      </w:r>
      <w:r>
        <w:rPr>
          <w:rFonts w:ascii="Helvetica Neue" w:cs="Helvetica Neue" w:eastAsia="Helvetica Neue" w:hAnsi="Helvetica Neue"/>
          <w:color w:val="1A211D"/>
          <w:sz w:val="19"/>
          <w:szCs w:val="19"/>
        </w:rPr>
        <w:t xml:space="preserve">(1) Every change runs 200+ automated checks before it can ship. (2) Any change to the writing engine must additionally pass a twelve-scenario quality audit — an independent grader scores the writing, and seventeen automated safeguards check every number, phrase, and length — plus CEO voice approval. (3) In production, a suspect number stops publication automatically and the last good briefing stays up until a human looks.</w:t>
      </w:r>
    </w:p>
    <w:p>
      <w:pPr>
        <w:spacing w:after="90" w:line="252"/>
      </w:pPr>
      <w:r>
        <w:rPr>
          <w:rFonts w:ascii="Helvetica Neue" w:cs="Helvetica Neue" w:eastAsia="Helvetica Neue" w:hAnsi="Helvetica Neue"/>
          <w:b/>
          <w:bCs/>
          <w:color w:val="1A211D"/>
          <w:sz w:val="19"/>
          <w:szCs w:val="19"/>
        </w:rPr>
        <w:t xml:space="preserve">Production. </w:t>
      </w:r>
      <w:r>
        <w:rPr>
          <w:rFonts w:ascii="Helvetica Neue" w:cs="Helvetica Neue" w:eastAsia="Helvetica Neue" w:hAnsi="Helvetica Neue"/>
          <w:color w:val="1A211D"/>
          <w:sz w:val="19"/>
          <w:szCs w:val="19"/>
        </w:rPr>
        <w:t xml:space="preserve">The approved code line publishes itself twice daily; deployment is automatic and reversible in one step. Every decision, test result, and change is captured in a permanent audit trail.</w:t>
      </w:r>
    </w:p>
    <w:p>
      <w:pPr>
        <w:spacing w:after="60" w:before="260"/>
      </w:pPr>
      <w:r>
        <w:rPr>
          <w:rFonts w:ascii="Helvetica Neue" w:cs="Helvetica Neue" w:eastAsia="Helvetica Neue" w:hAnsi="Helvetica Neue"/>
          <w:b/>
          <w:bCs/>
          <w:color w:val="2E7D5B"/>
          <w:spacing w:val="24"/>
          <w:sz w:val="17"/>
          <w:szCs w:val="17"/>
        </w:rPr>
        <w:t xml:space="preserve">ROADMAP — PHASES, MILESTONES, DELIVERABLES</w:t>
      </w:r>
    </w:p>
    <w:p>
      <w:pPr>
        <w:spacing w:after="80" w:line="252"/>
      </w:pPr>
      <w:r>
        <w:rPr>
          <w:rFonts w:ascii="Helvetica Neue" w:cs="Helvetica Neue" w:eastAsia="Helvetica Neue" w:hAnsi="Helvetica Neue"/>
          <w:b/>
          <w:bCs/>
          <w:color w:val="1A211D"/>
          <w:sz w:val="19"/>
          <w:szCs w:val="19"/>
        </w:rPr>
        <w:t xml:space="preserve">Prototyping is complete: </w:t>
      </w:r>
      <w:r>
        <w:rPr>
          <w:rFonts w:ascii="Helvetica Neue" w:cs="Helvetica Neue" w:eastAsia="Helvetica Neue" w:hAnsi="Helvetica Neue"/>
          <w:color w:val="1A211D"/>
          <w:sz w:val="19"/>
          <w:szCs w:val="19"/>
        </w:rPr>
        <w:t xml:space="preserve">the system launched June 18, 2026 and has published reliably twice daily since. The phases below govern the work from here.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650"/>
        <w:gridCol w:w="1300"/>
        <w:gridCol w:w="2900"/>
        <w:gridCol w:w="2600"/>
        <w:gridCol w:w="1910"/>
      </w:tblGrid>
      <w:tr>
        <w:tc>
          <w:tcPr>
            <w:tcW w:type="dxa" w:w="1650"/>
            <w:tcBorders>
              <w:top w:val="single" w:color="C9CFC9" w:sz="4"/>
              <w:left w:val="none" w:color="FFFFFF" w:sz="0"/>
              <w:bottom w:val="single" w:color="C9CFC9" w:sz="4"/>
              <w:right w:val="none" w:color="FFFFFF" w:sz="0"/>
            </w:tcBorders>
            <w:shd w:fill="EDF1ED" w:val="clear"/>
            <w:tcMar>
              <w:top w:type="dxa" w:w="50"/>
              <w:left w:type="dxa" w:w="80"/>
              <w:bottom w:type="dxa" w:w="50"/>
              <w:right w:type="dxa" w:w="80"/>
            </w:tcMar>
          </w:tcPr>
          <w:p>
            <w:pPr>
              <w:spacing w:after="0" w:line="232"/>
            </w:pPr>
            <w:r>
              <w:rPr>
                <w:rFonts w:ascii="Helvetica Neue" w:cs="Helvetica Neue" w:eastAsia="Helvetica Neue" w:hAnsi="Helvetica Neue"/>
                <w:b/>
                <w:bCs/>
                <w:color w:val="5A6660"/>
                <w:sz w:val="15"/>
                <w:szCs w:val="15"/>
              </w:rPr>
              <w:t xml:space="preserve">Phase</w:t>
            </w:r>
          </w:p>
        </w:tc>
        <w:tc>
          <w:tcPr>
            <w:tcW w:type="dxa" w:w="1300"/>
            <w:tcBorders>
              <w:top w:val="single" w:color="C9CFC9" w:sz="4"/>
              <w:left w:val="none" w:color="FFFFFF" w:sz="0"/>
              <w:bottom w:val="single" w:color="C9CFC9" w:sz="4"/>
              <w:right w:val="none" w:color="FFFFFF" w:sz="0"/>
            </w:tcBorders>
            <w:shd w:fill="EDF1ED" w:val="clear"/>
            <w:tcMar>
              <w:top w:type="dxa" w:w="50"/>
              <w:left w:type="dxa" w:w="80"/>
              <w:bottom w:type="dxa" w:w="50"/>
              <w:right w:type="dxa" w:w="80"/>
            </w:tcMar>
          </w:tcPr>
          <w:p>
            <w:pPr>
              <w:spacing w:after="0" w:line="232"/>
            </w:pPr>
            <w:r>
              <w:rPr>
                <w:rFonts w:ascii="Helvetica Neue" w:cs="Helvetica Neue" w:eastAsia="Helvetica Neue" w:hAnsi="Helvetica Neue"/>
                <w:b/>
                <w:bCs/>
                <w:color w:val="5A6660"/>
                <w:sz w:val="15"/>
                <w:szCs w:val="15"/>
              </w:rPr>
              <w:t xml:space="preserve">Window</w:t>
            </w:r>
          </w:p>
        </w:tc>
        <w:tc>
          <w:tcPr>
            <w:tcW w:type="dxa" w:w="2900"/>
            <w:tcBorders>
              <w:top w:val="single" w:color="C9CFC9" w:sz="4"/>
              <w:left w:val="none" w:color="FFFFFF" w:sz="0"/>
              <w:bottom w:val="single" w:color="C9CFC9" w:sz="4"/>
              <w:right w:val="none" w:color="FFFFFF" w:sz="0"/>
            </w:tcBorders>
            <w:shd w:fill="EDF1ED" w:val="clear"/>
            <w:tcMar>
              <w:top w:type="dxa" w:w="50"/>
              <w:left w:type="dxa" w:w="80"/>
              <w:bottom w:type="dxa" w:w="50"/>
              <w:right w:type="dxa" w:w="80"/>
            </w:tcMar>
          </w:tcPr>
          <w:p>
            <w:pPr>
              <w:spacing w:after="0" w:line="232"/>
            </w:pPr>
            <w:r>
              <w:rPr>
                <w:rFonts w:ascii="Helvetica Neue" w:cs="Helvetica Neue" w:eastAsia="Helvetica Neue" w:hAnsi="Helvetica Neue"/>
                <w:b/>
                <w:bCs/>
                <w:color w:val="5A6660"/>
                <w:sz w:val="15"/>
                <w:szCs w:val="15"/>
              </w:rPr>
              <w:t xml:space="preserve">Activities</w:t>
            </w:r>
          </w:p>
        </w:tc>
        <w:tc>
          <w:tcPr>
            <w:tcW w:type="dxa" w:w="2600"/>
            <w:tcBorders>
              <w:top w:val="single" w:color="C9CFC9" w:sz="4"/>
              <w:left w:val="none" w:color="FFFFFF" w:sz="0"/>
              <w:bottom w:val="single" w:color="C9CFC9" w:sz="4"/>
              <w:right w:val="none" w:color="FFFFFF" w:sz="0"/>
            </w:tcBorders>
            <w:shd w:fill="EDF1ED" w:val="clear"/>
            <w:tcMar>
              <w:top w:type="dxa" w:w="50"/>
              <w:left w:type="dxa" w:w="80"/>
              <w:bottom w:type="dxa" w:w="50"/>
              <w:right w:type="dxa" w:w="80"/>
            </w:tcMar>
          </w:tcPr>
          <w:p>
            <w:pPr>
              <w:spacing w:after="0" w:line="232"/>
            </w:pPr>
            <w:r>
              <w:rPr>
                <w:rFonts w:ascii="Helvetica Neue" w:cs="Helvetica Neue" w:eastAsia="Helvetica Neue" w:hAnsi="Helvetica Neue"/>
                <w:b/>
                <w:bCs/>
                <w:color w:val="5A6660"/>
                <w:sz w:val="15"/>
                <w:szCs w:val="15"/>
              </w:rPr>
              <w:t xml:space="preserve">Deliverables</w:t>
            </w:r>
          </w:p>
        </w:tc>
        <w:tc>
          <w:tcPr>
            <w:tcW w:type="dxa" w:w="1910"/>
            <w:tcBorders>
              <w:top w:val="single" w:color="C9CFC9" w:sz="4"/>
              <w:left w:val="none" w:color="FFFFFF" w:sz="0"/>
              <w:bottom w:val="single" w:color="C9CFC9" w:sz="4"/>
              <w:right w:val="none" w:color="FFFFFF" w:sz="0"/>
            </w:tcBorders>
            <w:shd w:fill="EDF1ED" w:val="clear"/>
            <w:tcMar>
              <w:top w:type="dxa" w:w="50"/>
              <w:left w:type="dxa" w:w="80"/>
              <w:bottom w:type="dxa" w:w="50"/>
              <w:right w:type="dxa" w:w="80"/>
            </w:tcMar>
          </w:tcPr>
          <w:p>
            <w:pPr>
              <w:spacing w:after="0" w:line="232"/>
            </w:pPr>
            <w:r>
              <w:rPr>
                <w:rFonts w:ascii="Helvetica Neue" w:cs="Helvetica Neue" w:eastAsia="Helvetica Neue" w:hAnsi="Helvetica Neue"/>
                <w:b/>
                <w:bCs/>
                <w:color w:val="5A6660"/>
                <w:sz w:val="15"/>
                <w:szCs w:val="15"/>
              </w:rPr>
              <w:t xml:space="preserve">Milestone</w:t>
            </w:r>
          </w:p>
        </w:tc>
      </w:tr>
      <w:tr>
        <w:tc>
          <w:tcPr>
            <w:tcW w:type="dxa" w:w="1650"/>
            <w:tcBorders>
              <w:top w:val="single" w:color="C9CFC9" w:sz="4"/>
              <w:left w:val="none" w:color="FFFFFF" w:sz="0"/>
              <w:bottom w:val="single" w:color="C9CFC9" w:sz="4"/>
              <w:right w:val="none" w:color="FFFFFF" w:sz="0"/>
            </w:tcBorders>
            <w:tcMar>
              <w:top w:type="dxa" w:w="50"/>
              <w:left w:type="dxa" w:w="80"/>
              <w:bottom w:type="dxa" w:w="50"/>
              <w:right w:type="dxa" w:w="80"/>
            </w:tcMar>
          </w:tcPr>
          <w:p>
            <w:pPr>
              <w:spacing w:after="0" w:line="232"/>
            </w:pPr>
            <w:r>
              <w:rPr>
                <w:rFonts w:ascii="Helvetica Neue" w:cs="Helvetica Neue" w:eastAsia="Helvetica Neue" w:hAnsi="Helvetica Neue"/>
                <w:b w:val="false"/>
                <w:bCs w:val="false"/>
                <w:color w:val="1A211D"/>
                <w:sz w:val="16"/>
                <w:szCs w:val="16"/>
              </w:rPr>
              <w:t xml:space="preserve">1 · Scope amendment</w:t>
            </w:r>
          </w:p>
        </w:tc>
        <w:tc>
          <w:tcPr>
            <w:tcW w:type="dxa" w:w="1300"/>
            <w:tcBorders>
              <w:top w:val="single" w:color="C9CFC9" w:sz="4"/>
              <w:left w:val="none" w:color="FFFFFF" w:sz="0"/>
              <w:bottom w:val="single" w:color="C9CFC9" w:sz="4"/>
              <w:right w:val="none" w:color="FFFFFF" w:sz="0"/>
            </w:tcBorders>
            <w:tcMar>
              <w:top w:type="dxa" w:w="50"/>
              <w:left w:type="dxa" w:w="80"/>
              <w:bottom w:type="dxa" w:w="50"/>
              <w:right w:type="dxa" w:w="80"/>
            </w:tcMar>
          </w:tcPr>
          <w:p>
            <w:pPr>
              <w:spacing w:after="0" w:line="232"/>
            </w:pPr>
            <w:r>
              <w:rPr>
                <w:rFonts w:ascii="Helvetica Neue" w:cs="Helvetica Neue" w:eastAsia="Helvetica Neue" w:hAnsi="Helvetica Neue"/>
                <w:b w:val="false"/>
                <w:bCs w:val="false"/>
                <w:color w:val="1A211D"/>
                <w:sz w:val="16"/>
                <w:szCs w:val="16"/>
              </w:rPr>
              <w:t xml:space="preserve">Jul 20 – Jul 24</w:t>
            </w:r>
          </w:p>
        </w:tc>
        <w:tc>
          <w:tcPr>
            <w:tcW w:type="dxa" w:w="2900"/>
            <w:tcBorders>
              <w:top w:val="single" w:color="C9CFC9" w:sz="4"/>
              <w:left w:val="none" w:color="FFFFFF" w:sz="0"/>
              <w:bottom w:val="single" w:color="C9CFC9" w:sz="4"/>
              <w:right w:val="none" w:color="FFFFFF" w:sz="0"/>
            </w:tcBorders>
            <w:tcMar>
              <w:top w:type="dxa" w:w="50"/>
              <w:left w:type="dxa" w:w="80"/>
              <w:bottom w:type="dxa" w:w="50"/>
              <w:right w:type="dxa" w:w="80"/>
            </w:tcMar>
          </w:tcPr>
          <w:p>
            <w:pPr>
              <w:spacing w:after="0" w:line="232"/>
            </w:pPr>
            <w:r>
              <w:rPr>
                <w:rFonts w:ascii="Helvetica Neue" w:cs="Helvetica Neue" w:eastAsia="Helvetica Neue" w:hAnsi="Helvetica Neue"/>
                <w:b w:val="false"/>
                <w:bCs w:val="false"/>
                <w:color w:val="1A211D"/>
                <w:sz w:val="16"/>
                <w:szCs w:val="16"/>
              </w:rPr>
              <w:t xml:space="preserve">Remove retail sales &amp; industrial production; add VIX; replace WTI with Brent; full test pass</w:t>
            </w:r>
          </w:p>
        </w:tc>
        <w:tc>
          <w:tcPr>
            <w:tcW w:type="dxa" w:w="2600"/>
            <w:tcBorders>
              <w:top w:val="single" w:color="C9CFC9" w:sz="4"/>
              <w:left w:val="none" w:color="FFFFFF" w:sz="0"/>
              <w:bottom w:val="single" w:color="C9CFC9" w:sz="4"/>
              <w:right w:val="none" w:color="FFFFFF" w:sz="0"/>
            </w:tcBorders>
            <w:tcMar>
              <w:top w:type="dxa" w:w="50"/>
              <w:left w:type="dxa" w:w="80"/>
              <w:bottom w:type="dxa" w:w="50"/>
              <w:right w:type="dxa" w:w="80"/>
            </w:tcMar>
          </w:tcPr>
          <w:p>
            <w:pPr>
              <w:spacing w:after="0" w:line="232"/>
            </w:pPr>
            <w:r>
              <w:rPr>
                <w:rFonts w:ascii="Helvetica Neue" w:cs="Helvetica Neue" w:eastAsia="Helvetica Neue" w:hAnsi="Helvetica Neue"/>
                <w:b w:val="false"/>
                <w:bCs w:val="false"/>
                <w:color w:val="1A211D"/>
                <w:sz w:val="16"/>
                <w:szCs w:val="16"/>
              </w:rPr>
              <w:t xml:space="preserve">Updated dashboard &amp; data registry; passing quality audit; revised data-set page</w:t>
            </w:r>
          </w:p>
        </w:tc>
        <w:tc>
          <w:tcPr>
            <w:tcW w:type="dxa" w:w="1910"/>
            <w:tcBorders>
              <w:top w:val="single" w:color="C9CFC9" w:sz="4"/>
              <w:left w:val="none" w:color="FFFFFF" w:sz="0"/>
              <w:bottom w:val="single" w:color="C9CFC9" w:sz="4"/>
              <w:right w:val="none" w:color="FFFFFF" w:sz="0"/>
            </w:tcBorders>
            <w:tcMar>
              <w:top w:type="dxa" w:w="50"/>
              <w:left w:type="dxa" w:w="80"/>
              <w:bottom w:type="dxa" w:w="50"/>
              <w:right w:type="dxa" w:w="80"/>
            </w:tcMar>
          </w:tcPr>
          <w:p>
            <w:pPr>
              <w:spacing w:after="0" w:line="232"/>
            </w:pPr>
            <w:r>
              <w:rPr>
                <w:rFonts w:ascii="Helvetica Neue" w:cs="Helvetica Neue" w:eastAsia="Helvetica Neue" w:hAnsi="Helvetica Neue"/>
                <w:b w:val="false"/>
                <w:bCs w:val="false"/>
                <w:color w:val="1A211D"/>
                <w:sz w:val="16"/>
                <w:szCs w:val="16"/>
              </w:rPr>
              <w:t xml:space="preserve">M1 — Amended scope live (Jul 24)</w:t>
            </w:r>
          </w:p>
        </w:tc>
      </w:tr>
      <w:tr>
        <w:tc>
          <w:tcPr>
            <w:tcW w:type="dxa" w:w="1650"/>
            <w:tcBorders>
              <w:top w:val="single" w:color="C9CFC9" w:sz="4"/>
              <w:left w:val="none" w:color="FFFFFF" w:sz="0"/>
              <w:bottom w:val="single" w:color="C9CFC9" w:sz="4"/>
              <w:right w:val="none" w:color="FFFFFF" w:sz="0"/>
            </w:tcBorders>
            <w:tcMar>
              <w:top w:type="dxa" w:w="50"/>
              <w:left w:type="dxa" w:w="80"/>
              <w:bottom w:type="dxa" w:w="50"/>
              <w:right w:type="dxa" w:w="80"/>
            </w:tcMar>
          </w:tcPr>
          <w:p>
            <w:pPr>
              <w:spacing w:after="0" w:line="232"/>
            </w:pPr>
            <w:r>
              <w:rPr>
                <w:rFonts w:ascii="Helvetica Neue" w:cs="Helvetica Neue" w:eastAsia="Helvetica Neue" w:hAnsi="Helvetica Neue"/>
                <w:b w:val="false"/>
                <w:bCs w:val="false"/>
                <w:color w:val="1A211D"/>
                <w:sz w:val="16"/>
                <w:szCs w:val="16"/>
              </w:rPr>
              <w:t xml:space="preserve">2 · Fund-data source decision</w:t>
            </w:r>
          </w:p>
        </w:tc>
        <w:tc>
          <w:tcPr>
            <w:tcW w:type="dxa" w:w="1300"/>
            <w:tcBorders>
              <w:top w:val="single" w:color="C9CFC9" w:sz="4"/>
              <w:left w:val="none" w:color="FFFFFF" w:sz="0"/>
              <w:bottom w:val="single" w:color="C9CFC9" w:sz="4"/>
              <w:right w:val="none" w:color="FFFFFF" w:sz="0"/>
            </w:tcBorders>
            <w:tcMar>
              <w:top w:type="dxa" w:w="50"/>
              <w:left w:type="dxa" w:w="80"/>
              <w:bottom w:type="dxa" w:w="50"/>
              <w:right w:type="dxa" w:w="80"/>
            </w:tcMar>
          </w:tcPr>
          <w:p>
            <w:pPr>
              <w:spacing w:after="0" w:line="232"/>
            </w:pPr>
            <w:r>
              <w:rPr>
                <w:rFonts w:ascii="Helvetica Neue" w:cs="Helvetica Neue" w:eastAsia="Helvetica Neue" w:hAnsi="Helvetica Neue"/>
                <w:b w:val="false"/>
                <w:bCs w:val="false"/>
                <w:color w:val="1A211D"/>
                <w:sz w:val="16"/>
                <w:szCs w:val="16"/>
              </w:rPr>
              <w:t xml:space="preserve">Jul 27 – Aug 7</w:t>
            </w:r>
          </w:p>
        </w:tc>
        <w:tc>
          <w:tcPr>
            <w:tcW w:type="dxa" w:w="2900"/>
            <w:tcBorders>
              <w:top w:val="single" w:color="C9CFC9" w:sz="4"/>
              <w:left w:val="none" w:color="FFFFFF" w:sz="0"/>
              <w:bottom w:val="single" w:color="C9CFC9" w:sz="4"/>
              <w:right w:val="none" w:color="FFFFFF" w:sz="0"/>
            </w:tcBorders>
            <w:tcMar>
              <w:top w:type="dxa" w:w="50"/>
              <w:left w:type="dxa" w:w="80"/>
              <w:bottom w:type="dxa" w:w="50"/>
              <w:right w:type="dxa" w:w="80"/>
            </w:tcMar>
          </w:tcPr>
          <w:p>
            <w:pPr>
              <w:spacing w:after="0" w:line="232"/>
            </w:pPr>
            <w:r>
              <w:rPr>
                <w:rFonts w:ascii="Helvetica Neue" w:cs="Helvetica Neue" w:eastAsia="Helvetica Neue" w:hAnsi="Helvetica Neue"/>
                <w:b w:val="false"/>
                <w:bCs w:val="false"/>
                <w:color w:val="1A211D"/>
                <w:sz w:val="16"/>
                <w:szCs w:val="16"/>
              </w:rPr>
              <w:t xml:space="preserve">Select a data source for GLD / IWM / BUZZ (fund prices are not government data; free options carry terms trade-offs); confirm the context-only compliance boundary</w:t>
            </w:r>
          </w:p>
        </w:tc>
        <w:tc>
          <w:tcPr>
            <w:tcW w:type="dxa" w:w="2600"/>
            <w:tcBorders>
              <w:top w:val="single" w:color="C9CFC9" w:sz="4"/>
              <w:left w:val="none" w:color="FFFFFF" w:sz="0"/>
              <w:bottom w:val="single" w:color="C9CFC9" w:sz="4"/>
              <w:right w:val="none" w:color="FFFFFF" w:sz="0"/>
            </w:tcBorders>
            <w:tcMar>
              <w:top w:type="dxa" w:w="50"/>
              <w:left w:type="dxa" w:w="80"/>
              <w:bottom w:type="dxa" w:w="50"/>
              <w:right w:type="dxa" w:w="80"/>
            </w:tcMar>
          </w:tcPr>
          <w:p>
            <w:pPr>
              <w:spacing w:after="0" w:line="232"/>
            </w:pPr>
            <w:r>
              <w:rPr>
                <w:rFonts w:ascii="Helvetica Neue" w:cs="Helvetica Neue" w:eastAsia="Helvetica Neue" w:hAnsi="Helvetica Neue"/>
                <w:b w:val="false"/>
                <w:bCs w:val="false"/>
                <w:color w:val="1A211D"/>
                <w:sz w:val="16"/>
                <w:szCs w:val="16"/>
              </w:rPr>
              <w:t xml:space="preserve">Source decision memo; compliance record for CEO sign-off</w:t>
            </w:r>
          </w:p>
        </w:tc>
        <w:tc>
          <w:tcPr>
            <w:tcW w:type="dxa" w:w="1910"/>
            <w:tcBorders>
              <w:top w:val="single" w:color="C9CFC9" w:sz="4"/>
              <w:left w:val="none" w:color="FFFFFF" w:sz="0"/>
              <w:bottom w:val="single" w:color="C9CFC9" w:sz="4"/>
              <w:right w:val="none" w:color="FFFFFF" w:sz="0"/>
            </w:tcBorders>
            <w:tcMar>
              <w:top w:type="dxa" w:w="50"/>
              <w:left w:type="dxa" w:w="80"/>
              <w:bottom w:type="dxa" w:w="50"/>
              <w:right w:type="dxa" w:w="80"/>
            </w:tcMar>
          </w:tcPr>
          <w:p>
            <w:pPr>
              <w:spacing w:after="0" w:line="232"/>
            </w:pPr>
            <w:r>
              <w:rPr>
                <w:rFonts w:ascii="Helvetica Neue" w:cs="Helvetica Neue" w:eastAsia="Helvetica Neue" w:hAnsi="Helvetica Neue"/>
                <w:b w:val="false"/>
                <w:bCs w:val="false"/>
                <w:color w:val="1A211D"/>
                <w:sz w:val="16"/>
                <w:szCs w:val="16"/>
              </w:rPr>
              <w:t xml:space="preserve">M2 — Source &amp; boundary signed (Aug 7)</w:t>
            </w:r>
          </w:p>
        </w:tc>
      </w:tr>
      <w:tr>
        <w:tc>
          <w:tcPr>
            <w:tcW w:type="dxa" w:w="1650"/>
            <w:tcBorders>
              <w:top w:val="single" w:color="C9CFC9" w:sz="4"/>
              <w:left w:val="none" w:color="FFFFFF" w:sz="0"/>
              <w:bottom w:val="single" w:color="C9CFC9" w:sz="4"/>
              <w:right w:val="none" w:color="FFFFFF" w:sz="0"/>
            </w:tcBorders>
            <w:tcMar>
              <w:top w:type="dxa" w:w="50"/>
              <w:left w:type="dxa" w:w="80"/>
              <w:bottom w:type="dxa" w:w="50"/>
              <w:right w:type="dxa" w:w="80"/>
            </w:tcMar>
          </w:tcPr>
          <w:p>
            <w:pPr>
              <w:spacing w:after="0" w:line="232"/>
            </w:pPr>
            <w:r>
              <w:rPr>
                <w:rFonts w:ascii="Helvetica Neue" w:cs="Helvetica Neue" w:eastAsia="Helvetica Neue" w:hAnsi="Helvetica Neue"/>
                <w:b w:val="false"/>
                <w:bCs w:val="false"/>
                <w:color w:val="1A211D"/>
                <w:sz w:val="16"/>
                <w:szCs w:val="16"/>
              </w:rPr>
              <w:t xml:space="preserve">3 · Market expansion build</w:t>
            </w:r>
          </w:p>
        </w:tc>
        <w:tc>
          <w:tcPr>
            <w:tcW w:type="dxa" w:w="1300"/>
            <w:tcBorders>
              <w:top w:val="single" w:color="C9CFC9" w:sz="4"/>
              <w:left w:val="none" w:color="FFFFFF" w:sz="0"/>
              <w:bottom w:val="single" w:color="C9CFC9" w:sz="4"/>
              <w:right w:val="none" w:color="FFFFFF" w:sz="0"/>
            </w:tcBorders>
            <w:tcMar>
              <w:top w:type="dxa" w:w="50"/>
              <w:left w:type="dxa" w:w="80"/>
              <w:bottom w:type="dxa" w:w="50"/>
              <w:right w:type="dxa" w:w="80"/>
            </w:tcMar>
          </w:tcPr>
          <w:p>
            <w:pPr>
              <w:spacing w:after="0" w:line="232"/>
            </w:pPr>
            <w:r>
              <w:rPr>
                <w:rFonts w:ascii="Helvetica Neue" w:cs="Helvetica Neue" w:eastAsia="Helvetica Neue" w:hAnsi="Helvetica Neue"/>
                <w:b w:val="false"/>
                <w:bCs w:val="false"/>
                <w:color w:val="1A211D"/>
                <w:sz w:val="16"/>
                <w:szCs w:val="16"/>
              </w:rPr>
              <w:t xml:space="preserve">Aug 10 – Aug 21</w:t>
            </w:r>
          </w:p>
        </w:tc>
        <w:tc>
          <w:tcPr>
            <w:tcW w:type="dxa" w:w="2900"/>
            <w:tcBorders>
              <w:top w:val="single" w:color="C9CFC9" w:sz="4"/>
              <w:left w:val="none" w:color="FFFFFF" w:sz="0"/>
              <w:bottom w:val="single" w:color="C9CFC9" w:sz="4"/>
              <w:right w:val="none" w:color="FFFFFF" w:sz="0"/>
            </w:tcBorders>
            <w:tcMar>
              <w:top w:type="dxa" w:w="50"/>
              <w:left w:type="dxa" w:w="80"/>
              <w:bottom w:type="dxa" w:w="50"/>
              <w:right w:type="dxa" w:w="80"/>
            </w:tcMar>
          </w:tcPr>
          <w:p>
            <w:pPr>
              <w:spacing w:after="0" w:line="232"/>
            </w:pPr>
            <w:r>
              <w:rPr>
                <w:rFonts w:ascii="Helvetica Neue" w:cs="Helvetica Neue" w:eastAsia="Helvetica Neue" w:hAnsi="Helvetica Neue"/>
                <w:b w:val="false"/>
                <w:bCs w:val="false"/>
                <w:color w:val="1A211D"/>
                <w:sz w:val="16"/>
                <w:szCs w:val="16"/>
              </w:rPr>
              <w:t xml:space="preserve">Build the three fund rows behind the existing data seam; charts, tests, quality audit</w:t>
            </w:r>
          </w:p>
        </w:tc>
        <w:tc>
          <w:tcPr>
            <w:tcW w:type="dxa" w:w="2600"/>
            <w:tcBorders>
              <w:top w:val="single" w:color="C9CFC9" w:sz="4"/>
              <w:left w:val="none" w:color="FFFFFF" w:sz="0"/>
              <w:bottom w:val="single" w:color="C9CFC9" w:sz="4"/>
              <w:right w:val="none" w:color="FFFFFF" w:sz="0"/>
            </w:tcBorders>
            <w:tcMar>
              <w:top w:type="dxa" w:w="50"/>
              <w:left w:type="dxa" w:w="80"/>
              <w:bottom w:type="dxa" w:w="50"/>
              <w:right w:type="dxa" w:w="80"/>
            </w:tcMar>
          </w:tcPr>
          <w:p>
            <w:pPr>
              <w:spacing w:after="0" w:line="232"/>
            </w:pPr>
            <w:r>
              <w:rPr>
                <w:rFonts w:ascii="Helvetica Neue" w:cs="Helvetica Neue" w:eastAsia="Helvetica Neue" w:hAnsi="Helvetica Neue"/>
                <w:b w:val="false"/>
                <w:bCs w:val="false"/>
                <w:color w:val="1A211D"/>
                <w:sz w:val="16"/>
                <w:szCs w:val="16"/>
              </w:rPr>
              <w:t xml:space="preserve">GLD, IWM, BUZZ live on the dashboard with history</w:t>
            </w:r>
          </w:p>
        </w:tc>
        <w:tc>
          <w:tcPr>
            <w:tcW w:type="dxa" w:w="1910"/>
            <w:tcBorders>
              <w:top w:val="single" w:color="C9CFC9" w:sz="4"/>
              <w:left w:val="none" w:color="FFFFFF" w:sz="0"/>
              <w:bottom w:val="single" w:color="C9CFC9" w:sz="4"/>
              <w:right w:val="none" w:color="FFFFFF" w:sz="0"/>
            </w:tcBorders>
            <w:tcMar>
              <w:top w:type="dxa" w:w="50"/>
              <w:left w:type="dxa" w:w="80"/>
              <w:bottom w:type="dxa" w:w="50"/>
              <w:right w:type="dxa" w:w="80"/>
            </w:tcMar>
          </w:tcPr>
          <w:p>
            <w:pPr>
              <w:spacing w:after="0" w:line="232"/>
            </w:pPr>
            <w:r>
              <w:rPr>
                <w:rFonts w:ascii="Helvetica Neue" w:cs="Helvetica Neue" w:eastAsia="Helvetica Neue" w:hAnsi="Helvetica Neue"/>
                <w:b w:val="false"/>
                <w:bCs w:val="false"/>
                <w:color w:val="1A211D"/>
                <w:sz w:val="16"/>
                <w:szCs w:val="16"/>
              </w:rPr>
              <w:t xml:space="preserve">M3 — Expanded market strip live (Aug 21)</w:t>
            </w:r>
          </w:p>
        </w:tc>
      </w:tr>
      <w:tr>
        <w:tc>
          <w:tcPr>
            <w:tcW w:type="dxa" w:w="1650"/>
            <w:tcBorders>
              <w:top w:val="single" w:color="C9CFC9" w:sz="4"/>
              <w:left w:val="none" w:color="FFFFFF" w:sz="0"/>
              <w:bottom w:val="single" w:color="C9CFC9" w:sz="4"/>
              <w:right w:val="none" w:color="FFFFFF" w:sz="0"/>
            </w:tcBorders>
            <w:tcMar>
              <w:top w:type="dxa" w:w="50"/>
              <w:left w:type="dxa" w:w="80"/>
              <w:bottom w:type="dxa" w:w="50"/>
              <w:right w:type="dxa" w:w="80"/>
            </w:tcMar>
          </w:tcPr>
          <w:p>
            <w:pPr>
              <w:spacing w:after="0" w:line="232"/>
            </w:pPr>
            <w:r>
              <w:rPr>
                <w:rFonts w:ascii="Helvetica Neue" w:cs="Helvetica Neue" w:eastAsia="Helvetica Neue" w:hAnsi="Helvetica Neue"/>
                <w:b w:val="false"/>
                <w:bCs w:val="false"/>
                <w:color w:val="1A211D"/>
                <w:sz w:val="16"/>
                <w:szCs w:val="16"/>
              </w:rPr>
              <w:t xml:space="preserve">4 · Steady-state operations</w:t>
            </w:r>
          </w:p>
        </w:tc>
        <w:tc>
          <w:tcPr>
            <w:tcW w:type="dxa" w:w="1300"/>
            <w:tcBorders>
              <w:top w:val="single" w:color="C9CFC9" w:sz="4"/>
              <w:left w:val="none" w:color="FFFFFF" w:sz="0"/>
              <w:bottom w:val="single" w:color="C9CFC9" w:sz="4"/>
              <w:right w:val="none" w:color="FFFFFF" w:sz="0"/>
            </w:tcBorders>
            <w:tcMar>
              <w:top w:type="dxa" w:w="50"/>
              <w:left w:type="dxa" w:w="80"/>
              <w:bottom w:type="dxa" w:w="50"/>
              <w:right w:type="dxa" w:w="80"/>
            </w:tcMar>
          </w:tcPr>
          <w:p>
            <w:pPr>
              <w:spacing w:after="0" w:line="232"/>
            </w:pPr>
            <w:r>
              <w:rPr>
                <w:rFonts w:ascii="Helvetica Neue" w:cs="Helvetica Neue" w:eastAsia="Helvetica Neue" w:hAnsi="Helvetica Neue"/>
                <w:b w:val="false"/>
                <w:bCs w:val="false"/>
                <w:color w:val="1A211D"/>
                <w:sz w:val="16"/>
                <w:szCs w:val="16"/>
              </w:rPr>
              <w:t xml:space="preserve">Ongoing</w:t>
            </w:r>
          </w:p>
        </w:tc>
        <w:tc>
          <w:tcPr>
            <w:tcW w:type="dxa" w:w="2900"/>
            <w:tcBorders>
              <w:top w:val="single" w:color="C9CFC9" w:sz="4"/>
              <w:left w:val="none" w:color="FFFFFF" w:sz="0"/>
              <w:bottom w:val="single" w:color="C9CFC9" w:sz="4"/>
              <w:right w:val="none" w:color="FFFFFF" w:sz="0"/>
            </w:tcBorders>
            <w:tcMar>
              <w:top w:type="dxa" w:w="50"/>
              <w:left w:type="dxa" w:w="80"/>
              <w:bottom w:type="dxa" w:w="50"/>
              <w:right w:type="dxa" w:w="80"/>
            </w:tcMar>
          </w:tcPr>
          <w:p>
            <w:pPr>
              <w:spacing w:after="0" w:line="232"/>
            </w:pPr>
            <w:r>
              <w:rPr>
                <w:rFonts w:ascii="Helvetica Neue" w:cs="Helvetica Neue" w:eastAsia="Helvetica Neue" w:hAnsi="Helvetica Neue"/>
                <w:b w:val="false"/>
                <w:bCs w:val="false"/>
                <w:color w:val="1A211D"/>
                <w:sz w:val="16"/>
                <w:szCs w:val="16"/>
              </w:rPr>
              <w:t xml:space="preserve">Twice-daily publishing; monitoring; quarterly data-source review (next: Oct 2026); annual release-calendar refresh</w:t>
            </w:r>
          </w:p>
        </w:tc>
        <w:tc>
          <w:tcPr>
            <w:tcW w:type="dxa" w:w="2600"/>
            <w:tcBorders>
              <w:top w:val="single" w:color="C9CFC9" w:sz="4"/>
              <w:left w:val="none" w:color="FFFFFF" w:sz="0"/>
              <w:bottom w:val="single" w:color="C9CFC9" w:sz="4"/>
              <w:right w:val="none" w:color="FFFFFF" w:sz="0"/>
            </w:tcBorders>
            <w:tcMar>
              <w:top w:type="dxa" w:w="50"/>
              <w:left w:type="dxa" w:w="80"/>
              <w:bottom w:type="dxa" w:w="50"/>
              <w:right w:type="dxa" w:w="80"/>
            </w:tcMar>
          </w:tcPr>
          <w:p>
            <w:pPr>
              <w:spacing w:after="0" w:line="232"/>
            </w:pPr>
            <w:r>
              <w:rPr>
                <w:rFonts w:ascii="Helvetica Neue" w:cs="Helvetica Neue" w:eastAsia="Helvetica Neue" w:hAnsi="Helvetica Neue"/>
                <w:b w:val="false"/>
                <w:bCs w:val="false"/>
                <w:color w:val="1A211D"/>
                <w:sz w:val="16"/>
                <w:szCs w:val="16"/>
              </w:rPr>
              <w:t xml:space="preserve">Uninterrupted daily briefings; quarterly review note</w:t>
            </w:r>
          </w:p>
        </w:tc>
        <w:tc>
          <w:tcPr>
            <w:tcW w:type="dxa" w:w="1910"/>
            <w:tcBorders>
              <w:top w:val="single" w:color="C9CFC9" w:sz="4"/>
              <w:left w:val="none" w:color="FFFFFF" w:sz="0"/>
              <w:bottom w:val="single" w:color="C9CFC9" w:sz="4"/>
              <w:right w:val="none" w:color="FFFFFF" w:sz="0"/>
            </w:tcBorders>
            <w:tcMar>
              <w:top w:type="dxa" w:w="50"/>
              <w:left w:type="dxa" w:w="80"/>
              <w:bottom w:type="dxa" w:w="50"/>
              <w:right w:type="dxa" w:w="80"/>
            </w:tcMar>
          </w:tcPr>
          <w:p>
            <w:pPr>
              <w:spacing w:after="0" w:line="232"/>
            </w:pPr>
            <w:r>
              <w:rPr>
                <w:rFonts w:ascii="Helvetica Neue" w:cs="Helvetica Neue" w:eastAsia="Helvetica Neue" w:hAnsi="Helvetica Neue"/>
                <w:b w:val="false"/>
                <w:bCs w:val="false"/>
                <w:color w:val="1A211D"/>
                <w:sz w:val="16"/>
                <w:szCs w:val="16"/>
              </w:rPr>
              <w:t xml:space="preserve">Continuous</w:t>
            </w:r>
          </w:p>
        </w:tc>
      </w:tr>
    </w:tbl>
    <w:p>
      <w:pPr>
        <w:spacing w:after="90" w:line="252"/>
      </w:pPr>
      <w:r>
        <w:rPr>
          <w:rFonts w:ascii="Helvetica Neue" w:cs="Helvetica Neue" w:eastAsia="Helvetica Neue" w:hAnsi="Helvetica Neue"/>
          <w:b/>
          <w:bCs/>
          <w:color w:val="1A211D"/>
          <w:sz w:val="19"/>
          <w:szCs w:val="19"/>
        </w:rPr>
        <w:t xml:space="preserve">Also pending: </w:t>
      </w:r>
      <w:r>
        <w:rPr>
          <w:rFonts w:ascii="Helvetica Neue" w:cs="Helvetica Neue" w:eastAsia="Helvetica Neue" w:hAnsi="Helvetica Neue"/>
          <w:color w:val="1A211D"/>
          <w:sz w:val="19"/>
          <w:szCs w:val="19"/>
        </w:rPr>
        <w:t xml:space="preserve">the writing upgrade (each numbered line ends with a plain-language cue to what the number means) has passed its quality audit on substance and awaits CEO voice approval; it ships within Phase 1 once approved.</w:t>
      </w:r>
    </w:p>
    <w:p>
      <w:pPr>
        <w:spacing w:after="60" w:before="260"/>
      </w:pPr>
      <w:r>
        <w:rPr>
          <w:rFonts w:ascii="Helvetica Neue" w:cs="Helvetica Neue" w:eastAsia="Helvetica Neue" w:hAnsi="Helvetica Neue"/>
          <w:b/>
          <w:bCs/>
          <w:color w:val="2E7D5B"/>
          <w:spacing w:val="24"/>
          <w:sz w:val="17"/>
          <w:szCs w:val="17"/>
        </w:rPr>
        <w:t xml:space="preserve">DECISION RIGHTS</w:t>
      </w:r>
    </w:p>
    <w:p>
      <w:pPr>
        <w:spacing w:after="90" w:line="252"/>
      </w:pPr>
      <w:r>
        <w:rPr>
          <w:rFonts w:ascii="Helvetica Neue" w:cs="Helvetica Neue" w:eastAsia="Helvetica Neue" w:hAnsi="Helvetica Neue"/>
          <w:color w:val="1A211D"/>
          <w:sz w:val="19"/>
          <w:szCs w:val="19"/>
        </w:rPr>
        <w:t xml:space="preserve">The CEO holds sign-off over everything that touches trust: the product's voice, the measures it reports, the rules behind its judgment, and the compliance boundaries. The operator builds and runs the system and may change anything else without escalation. Nine CEO decisions are on file to date (consent &amp; scope; compliance guardrails; judgment rules; indicator set; voice; the launch compliance package; the market-data boundary; the context expansion; the backdrop note) — each captured in writing in the permanent audit trail, June 15–24, 2026. This revision adds two more to the file: the July 16 scope amendment and the Phase 2 source decision.</w:t>
      </w:r>
    </w:p>
    <w:p>
      <w:pPr>
        <w:spacing w:after="60" w:before="260"/>
      </w:pPr>
      <w:r>
        <w:rPr>
          <w:rFonts w:ascii="Helvetica Neue" w:cs="Helvetica Neue" w:eastAsia="Helvetica Neue" w:hAnsi="Helvetica Neue"/>
          <w:b/>
          <w:bCs/>
          <w:color w:val="2E7D5B"/>
          <w:spacing w:val="24"/>
          <w:sz w:val="17"/>
          <w:szCs w:val="17"/>
        </w:rPr>
        <w:t xml:space="preserve">RISK POSTURE</w:t>
      </w:r>
    </w:p>
    <w:p>
      <w:pPr>
        <w:spacing w:after="90" w:line="252"/>
      </w:pPr>
      <w:r>
        <w:rPr>
          <w:rFonts w:ascii="Helvetica Neue" w:cs="Helvetica Neue" w:eastAsia="Helvetica Neue" w:hAnsi="Helvetica Neue"/>
          <w:b/>
          <w:bCs/>
          <w:color w:val="1A211D"/>
          <w:sz w:val="19"/>
          <w:szCs w:val="19"/>
        </w:rPr>
        <w:t xml:space="preserve">Bad data: </w:t>
      </w:r>
      <w:r>
        <w:rPr>
          <w:rFonts w:ascii="Helvetica Neue" w:cs="Helvetica Neue" w:eastAsia="Helvetica Neue" w:hAnsi="Helvetica Neue"/>
          <w:color w:val="1A211D"/>
          <w:sz w:val="19"/>
          <w:szCs w:val="19"/>
        </w:rPr>
        <w:t xml:space="preserve">figures are checked against plausible ranges before publication; a suspect number stops the update. </w:t>
      </w:r>
      <w:r>
        <w:rPr>
          <w:rFonts w:ascii="Helvetica Neue" w:cs="Helvetica Neue" w:eastAsia="Helvetica Neue" w:hAnsi="Helvetica Neue"/>
          <w:b/>
          <w:bCs/>
          <w:color w:val="1A211D"/>
          <w:sz w:val="19"/>
          <w:szCs w:val="19"/>
        </w:rPr>
        <w:t xml:space="preserve">Machine error: </w:t>
      </w:r>
      <w:r>
        <w:rPr>
          <w:rFonts w:ascii="Helvetica Neue" w:cs="Helvetica Neue" w:eastAsia="Helvetica Neue" w:hAnsi="Helvetica Neue"/>
          <w:color w:val="1A211D"/>
          <w:sz w:val="19"/>
          <w:szCs w:val="19"/>
        </w:rPr>
        <w:t xml:space="preserve">the three-layer testing regime above. </w:t>
      </w:r>
      <w:r>
        <w:rPr>
          <w:rFonts w:ascii="Helvetica Neue" w:cs="Helvetica Neue" w:eastAsia="Helvetica Neue" w:hAnsi="Helvetica Neue"/>
          <w:b/>
          <w:bCs/>
          <w:color w:val="1A211D"/>
          <w:sz w:val="19"/>
          <w:szCs w:val="19"/>
        </w:rPr>
        <w:t xml:space="preserve">Vendor dependence: </w:t>
      </w:r>
      <w:r>
        <w:rPr>
          <w:rFonts w:ascii="Helvetica Neue" w:cs="Helvetica Neue" w:eastAsia="Helvetica Neue" w:hAnsi="Helvetica Neue"/>
          <w:color w:val="1A211D"/>
          <w:sz w:val="19"/>
          <w:szCs w:val="19"/>
        </w:rPr>
        <w:t xml:space="preserve">government data carries no leverage; the Phase 2 fund-price source is the one place a third party enters, which is why it gets its own decision gate. </w:t>
      </w:r>
      <w:r>
        <w:rPr>
          <w:rFonts w:ascii="Helvetica Neue" w:cs="Helvetica Neue" w:eastAsia="Helvetica Neue" w:hAnsi="Helvetica Neue"/>
          <w:b/>
          <w:bCs/>
          <w:color w:val="1A211D"/>
          <w:sz w:val="19"/>
          <w:szCs w:val="19"/>
        </w:rPr>
        <w:t xml:space="preserve">Cost: </w:t>
      </w:r>
      <w:r>
        <w:rPr>
          <w:rFonts w:ascii="Helvetica Neue" w:cs="Helvetica Neue" w:eastAsia="Helvetica Neue" w:hAnsi="Helvetica Neue"/>
          <w:color w:val="1A211D"/>
          <w:sz w:val="19"/>
          <w:szCs w:val="19"/>
        </w:rPr>
        <w:t xml:space="preserve">none to lose.</w:t>
      </w:r>
    </w:p>
    <w:p>
      <w:pPr>
        <w:spacing w:after="60" w:before="260"/>
      </w:pPr>
      <w:r>
        <w:rPr>
          <w:rFonts w:ascii="Helvetica Neue" w:cs="Helvetica Neue" w:eastAsia="Helvetica Neue" w:hAnsi="Helvetica Neue"/>
          <w:b/>
          <w:bCs/>
          <w:color w:val="2E7D5B"/>
          <w:spacing w:val="24"/>
          <w:sz w:val="17"/>
          <w:szCs w:val="17"/>
        </w:rPr>
        <w:t xml:space="preserve">APPROVAL</w:t>
      </w:r>
    </w:p>
    <w:tbl>
      <w:tblPr>
        <w:tblW w:type="dxa" w:w="1037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3370"/>
      </w:tblGrid>
      <w:tr>
        <w:tc>
          <w:tcPr>
            <w:tcW w:type="dxa" w:w="5000"/>
            <w:tcBorders>
              <w:top w:val="single" w:color="C9CFC9" w:sz="4"/>
              <w:left w:val="none" w:color="FFFFFF" w:sz="0"/>
              <w:bottom w:val="single" w:color="C9CFC9" w:sz="4"/>
              <w:right w:val="none" w:color="FFFFFF" w:sz="0"/>
            </w:tcBorders>
            <w:tcMar>
              <w:top w:type="dxa" w:w="50"/>
              <w:left w:type="dxa" w:w="80"/>
              <w:bottom w:type="dxa" w:w="50"/>
              <w:right w:type="dxa" w:w="80"/>
            </w:tcMar>
          </w:tcPr>
          <w:p>
            <w:pPr>
              <w:spacing w:after="0" w:line="232"/>
            </w:pPr>
            <w:r>
              <w:rPr>
                <w:rFonts w:ascii="Helvetica Neue" w:cs="Helvetica Neue" w:eastAsia="Helvetica Neue" w:hAnsi="Helvetica Neue"/>
                <w:b w:val="false"/>
                <w:bCs w:val="false"/>
                <w:color w:val="1A211D"/>
                <w:sz w:val="17"/>
                <w:szCs w:val="17"/>
              </w:rPr>
              <w:t xml:space="preserve">X — Bruce Yazdani, Chief Executive Officer, Bruce Yazdani, LLC</w:t>
            </w:r>
          </w:p>
        </w:tc>
        <w:tc>
          <w:tcPr>
            <w:tcW w:type="dxa" w:w="2000"/>
            <w:tcBorders>
              <w:top w:val="single" w:color="C9CFC9" w:sz="4"/>
              <w:left w:val="none" w:color="FFFFFF" w:sz="0"/>
              <w:bottom w:val="single" w:color="C9CFC9" w:sz="4"/>
              <w:right w:val="none" w:color="FFFFFF" w:sz="0"/>
            </w:tcBorders>
            <w:tcMar>
              <w:top w:type="dxa" w:w="50"/>
              <w:left w:type="dxa" w:w="80"/>
              <w:bottom w:type="dxa" w:w="50"/>
              <w:right w:type="dxa" w:w="80"/>
            </w:tcMar>
          </w:tcPr>
          <w:p>
            <w:pPr>
              <w:spacing w:after="0" w:line="232"/>
            </w:pPr>
            <w:r>
              <w:rPr>
                <w:rFonts w:ascii="Helvetica Neue" w:cs="Helvetica Neue" w:eastAsia="Helvetica Neue" w:hAnsi="Helvetica Neue"/>
                <w:b w:val="false"/>
                <w:bCs w:val="false"/>
                <w:color w:val="5A6660"/>
                <w:sz w:val="17"/>
                <w:szCs w:val="17"/>
              </w:rPr>
              <w:t xml:space="preserve">Date</w:t>
            </w:r>
          </w:p>
        </w:tc>
        <w:tc>
          <w:tcPr>
            <w:tcW w:type="dxa" w:w="3370"/>
            <w:tcBorders>
              <w:top w:val="single" w:color="C9CFC9" w:sz="4"/>
              <w:left w:val="none" w:color="FFFFFF" w:sz="0"/>
              <w:bottom w:val="single" w:color="C9CFC9" w:sz="4"/>
              <w:right w:val="none" w:color="FFFFFF" w:sz="0"/>
            </w:tcBorders>
            <w:tcMar>
              <w:top w:type="dxa" w:w="50"/>
              <w:left w:type="dxa" w:w="80"/>
              <w:bottom w:type="dxa" w:w="50"/>
              <w:right w:type="dxa" w:w="80"/>
            </w:tcMar>
          </w:tcPr>
          <w:p>
            <w:pPr>
              <w:spacing w:after="0" w:line="232"/>
            </w:pPr>
            <w:r>
              <w:rPr>
                <w:rFonts w:ascii="Helvetica Neue" w:cs="Helvetica Neue" w:eastAsia="Helvetica Neue" w:hAnsi="Helvetica Neue"/>
                <w:b w:val="false"/>
                <w:bCs w:val="false"/>
                <w:color w:val="1A211D"/>
                <w:sz w:val="17"/>
                <w:szCs w:val="17"/>
              </w:rPr>
              <w:t xml:space="preserve"/>
            </w:r>
          </w:p>
        </w:tc>
      </w:tr>
      <w:tr>
        <w:tc>
          <w:tcPr>
            <w:tcW w:type="dxa" w:w="5000"/>
            <w:tcBorders>
              <w:top w:val="single" w:color="C9CFC9" w:sz="4"/>
              <w:left w:val="none" w:color="FFFFFF" w:sz="0"/>
              <w:bottom w:val="single" w:color="C9CFC9" w:sz="4"/>
              <w:right w:val="none" w:color="FFFFFF" w:sz="0"/>
            </w:tcBorders>
            <w:tcMar>
              <w:top w:type="dxa" w:w="50"/>
              <w:left w:type="dxa" w:w="80"/>
              <w:bottom w:type="dxa" w:w="50"/>
              <w:right w:type="dxa" w:w="80"/>
            </w:tcMar>
          </w:tcPr>
          <w:p>
            <w:pPr>
              <w:spacing w:after="0" w:line="232"/>
            </w:pPr>
            <w:r>
              <w:rPr>
                <w:rFonts w:ascii="Helvetica Neue" w:cs="Helvetica Neue" w:eastAsia="Helvetica Neue" w:hAnsi="Helvetica Neue"/>
                <w:b w:val="false"/>
                <w:bCs w:val="false"/>
                <w:color w:val="1A211D"/>
                <w:sz w:val="17"/>
                <w:szCs w:val="17"/>
              </w:rPr>
              <w:t xml:space="preserve">X — Arash Yazdani, Operator</w:t>
            </w:r>
          </w:p>
        </w:tc>
        <w:tc>
          <w:tcPr>
            <w:tcW w:type="dxa" w:w="2000"/>
            <w:tcBorders>
              <w:top w:val="single" w:color="C9CFC9" w:sz="4"/>
              <w:left w:val="none" w:color="FFFFFF" w:sz="0"/>
              <w:bottom w:val="single" w:color="C9CFC9" w:sz="4"/>
              <w:right w:val="none" w:color="FFFFFF" w:sz="0"/>
            </w:tcBorders>
            <w:tcMar>
              <w:top w:type="dxa" w:w="50"/>
              <w:left w:type="dxa" w:w="80"/>
              <w:bottom w:type="dxa" w:w="50"/>
              <w:right w:type="dxa" w:w="80"/>
            </w:tcMar>
          </w:tcPr>
          <w:p>
            <w:pPr>
              <w:spacing w:after="0" w:line="232"/>
            </w:pPr>
            <w:r>
              <w:rPr>
                <w:rFonts w:ascii="Helvetica Neue" w:cs="Helvetica Neue" w:eastAsia="Helvetica Neue" w:hAnsi="Helvetica Neue"/>
                <w:b w:val="false"/>
                <w:bCs w:val="false"/>
                <w:color w:val="5A6660"/>
                <w:sz w:val="17"/>
                <w:szCs w:val="17"/>
              </w:rPr>
              <w:t xml:space="preserve">Date</w:t>
            </w:r>
          </w:p>
        </w:tc>
        <w:tc>
          <w:tcPr>
            <w:tcW w:type="dxa" w:w="3370"/>
            <w:tcBorders>
              <w:top w:val="single" w:color="C9CFC9" w:sz="4"/>
              <w:left w:val="none" w:color="FFFFFF" w:sz="0"/>
              <w:bottom w:val="single" w:color="C9CFC9" w:sz="4"/>
              <w:right w:val="none" w:color="FFFFFF" w:sz="0"/>
            </w:tcBorders>
            <w:tcMar>
              <w:top w:type="dxa" w:w="50"/>
              <w:left w:type="dxa" w:w="80"/>
              <w:bottom w:type="dxa" w:w="50"/>
              <w:right w:type="dxa" w:w="80"/>
            </w:tcMar>
          </w:tcPr>
          <w:p>
            <w:pPr>
              <w:spacing w:after="0" w:line="232"/>
            </w:pPr>
            <w:r>
              <w:rPr>
                <w:rFonts w:ascii="Helvetica Neue" w:cs="Helvetica Neue" w:eastAsia="Helvetica Neue" w:hAnsi="Helvetica Neue"/>
                <w:b w:val="false"/>
                <w:bCs w:val="false"/>
                <w:color w:val="1A211D"/>
                <w:sz w:val="17"/>
                <w:szCs w:val="17"/>
              </w:rPr>
              <w:t xml:space="preserve"/>
            </w:r>
          </w:p>
        </w:tc>
      </w:tr>
    </w:tbl>
    <w:sectPr>
      <w:pgSz w:w="12240" w:h="15840" w:orient="portrait"/>
      <w:pgMar w:top="900" w:right="1100" w:bottom="82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1A211D"/>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2026-07-16T22:09:03.051Z</dcterms:created>
  <dcterms:modified xsi:type="dcterms:W3CDTF">2026-07-16T22:09:03.052Z</dcterms:modified>
</cp:coreProperties>
</file>

<file path=docProps/custom.xml><?xml version="1.0" encoding="utf-8"?>
<Properties xmlns="http://schemas.openxmlformats.org/officeDocument/2006/custom-properties" xmlns:vt="http://schemas.openxmlformats.org/officeDocument/2006/docPropsVTypes"/>
</file>