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370"/>
        <w:tblBorders>
          <w:top w:val="single" w:color="auto" w:sz="4"/>
          <w:left w:val="single" w:color="auto" w:sz="4"/>
          <w:bottom w:val="single" w:color="auto" w:sz="4"/>
          <w:right w:val="single" w:color="auto" w:sz="4"/>
          <w:insideH w:val="single" w:color="auto" w:sz="4"/>
          <w:insideV w:val="single" w:color="auto" w:sz="4"/>
        </w:tblBorders>
      </w:tblPr>
      <w:tblGrid>
        <w:gridCol w:w="900"/>
        <w:gridCol w:w="9470"/>
      </w:tblGrid>
      <w:tr>
        <w:tc>
          <w:tcPr>
            <w:tcW w:type="dxa" w:w="900"/>
            <w:tcBorders>
              <w:top w:val="none" w:color="FFFFFF" w:sz="0"/>
              <w:left w:val="none" w:color="FFFFFF" w:sz="0"/>
              <w:bottom w:val="none" w:color="FFFFFF" w:sz="0"/>
              <w:right w:val="none" w:color="FFFFFF" w:sz="0"/>
            </w:tcBorders>
            <w:vAlign w:val="center"/>
          </w:tcPr>
          <w:p>
            <w:pPr>
              <w:spacing w:after="0"/>
            </w:pPr>
            <w:r>
              <w:drawing>
                <wp:inline distT="0" distB="0" distL="0" distR="0">
                  <wp:extent cx="4381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390525"/>
                          </a:xfrm>
                          <a:prstGeom prst="rect">
                            <a:avLst/>
                          </a:prstGeom>
                        </pic:spPr>
                      </pic:pic>
                    </a:graphicData>
                  </a:graphic>
                </wp:inline>
              </w:drawing>
            </w:r>
          </w:p>
        </w:tc>
        <w:tc>
          <w:tcPr>
            <w:tcW w:type="dxa" w:w="9470"/>
            <w:tcBorders>
              <w:top w:val="none" w:color="FFFFFF" w:sz="0"/>
              <w:left w:val="none" w:color="FFFFFF" w:sz="0"/>
              <w:bottom w:val="none" w:color="FFFFFF" w:sz="0"/>
              <w:right w:val="none" w:color="FFFFFF" w:sz="0"/>
            </w:tcBorders>
            <w:tcMar>
              <w:left w:type="dxa" w:w="160"/>
            </w:tcMar>
            <w:vAlign w:val="center"/>
          </w:tcPr>
          <w:p>
            <w:pPr>
              <w:spacing w:after="10"/>
            </w:pPr>
            <w:r>
              <w:rPr>
                <w:rFonts w:ascii="Helvetica Neue" w:cs="Helvetica Neue" w:eastAsia="Helvetica Neue" w:hAnsi="Helvetica Neue"/>
                <w:b/>
                <w:bCs/>
                <w:color w:val="5A6660"/>
                <w:spacing w:val="30"/>
                <w:sz w:val="17"/>
                <w:szCs w:val="17"/>
              </w:rPr>
              <w:t xml:space="preserve">BRUCE YAZDANI, LLC</w:t>
            </w:r>
          </w:p>
          <w:p>
            <w:pPr>
              <w:spacing w:after="0"/>
            </w:pPr>
            <w:r>
              <w:rPr>
                <w:rFonts w:ascii="Helvetica Neue" w:cs="Helvetica Neue" w:eastAsia="Helvetica Neue" w:hAnsi="Helvetica Neue"/>
                <w:b/>
                <w:bCs/>
                <w:color w:val="1A211D"/>
                <w:sz w:val="32"/>
                <w:szCs w:val="32"/>
              </w:rPr>
              <w:t xml:space="preserve">Project Charter — The Daily Macro Briefing</w:t>
            </w:r>
          </w:p>
        </w:tc>
      </w:tr>
    </w:tbl>
    <w:p>
      <w:pPr>
        <w:pBdr>
          <w:bottom w:val="single" w:color="C9CFC9" w:sz="4"/>
        </w:pBdr>
        <w:spacing w:after="130" w:before="60"/>
      </w:pPr>
      <w:r>
        <w:rPr>
          <w:rFonts w:ascii="Helvetica Neue" w:cs="Helvetica Neue" w:eastAsia="Helvetica Neue" w:hAnsi="Helvetica Neue"/>
          <w:color w:val="5A6660"/>
          <w:sz w:val="16"/>
          <w:szCs w:val="16"/>
        </w:rPr>
        <w:t xml:space="preserve">Sponsor: Bruce Yazdani, CEO   ·   Operator: Arash Yazdani, Modeo   ·   Revision 3 — July 17, 2026   ·   Supersedes Revision 2 per CEO feedback</w:t>
      </w:r>
    </w:p>
    <w:p>
      <w:pPr>
        <w:spacing w:after="60" w:before="260"/>
      </w:pPr>
      <w:r>
        <w:rPr>
          <w:rFonts w:ascii="Helvetica Neue" w:cs="Helvetica Neue" w:eastAsia="Helvetica Neue" w:hAnsi="Helvetica Neue"/>
          <w:b/>
          <w:bCs/>
          <w:color w:val="2E7D5B"/>
          <w:spacing w:val="24"/>
          <w:sz w:val="17"/>
          <w:szCs w:val="17"/>
        </w:rPr>
        <w:t xml:space="preserve">BACKGROUND</w:t>
      </w:r>
    </w:p>
    <w:p>
      <w:pPr>
        <w:spacing w:after="90" w:line="250"/>
      </w:pPr>
      <w:r>
        <w:rPr>
          <w:rFonts w:ascii="Helvetica Neue" w:cs="Helvetica Neue" w:eastAsia="Helvetica Neue" w:hAnsi="Helvetica Neue"/>
          <w:color w:val="1A211D"/>
          <w:sz w:val="19"/>
          <w:szCs w:val="19"/>
        </w:rPr>
        <w:t xml:space="preserve">Bruce Yazdani runs Bruce Yazdani, LLC, an investment fund, and needs to stay current on the U.S. economy every day. Staying current has meant scanning financial media each morning and evening — slow, noisy, and colored by whoever is doing the talking. Professional alternatives (market terminals, research subscriptions) cost thousands per year and deliver far more than one person needs. In June 2026 the company commissioned a private alternative: a self-updating daily briefing built only on official government data, costing nothing to run. The prototype was designed, built, quality-audited, and launched between June 11 and June 18, 2026, and has published twice daily since.</w:t>
      </w:r>
    </w:p>
    <w:p>
      <w:pPr>
        <w:spacing w:after="60" w:before="260"/>
      </w:pPr>
      <w:r>
        <w:rPr>
          <w:rFonts w:ascii="Helvetica Neue" w:cs="Helvetica Neue" w:eastAsia="Helvetica Neue" w:hAnsi="Helvetica Neue"/>
          <w:b/>
          <w:bCs/>
          <w:color w:val="2E7D5B"/>
          <w:spacing w:val="24"/>
          <w:sz w:val="17"/>
          <w:szCs w:val="17"/>
        </w:rPr>
        <w:t xml:space="preserve">PROBLEM STATEMENT</w:t>
      </w:r>
    </w:p>
    <w:p>
      <w:pPr>
        <w:spacing w:after="90" w:line="250"/>
      </w:pPr>
      <w:r>
        <w:rPr>
          <w:rFonts w:ascii="Helvetica Neue" w:cs="Helvetica Neue" w:eastAsia="Helvetica Neue" w:hAnsi="Helvetica Neue"/>
          <w:color w:val="1A211D"/>
          <w:sz w:val="19"/>
          <w:szCs w:val="19"/>
        </w:rPr>
        <w:t xml:space="preserve">The CEO needs one fast, trustworthy, quotable read on the U.S. economy — current to the latest official releases — without paying for terminals, without wading through media noise, and without anything that could constitute investment advice. No existing product offers that combination: terminals are expensive and excessive, media is noisy and opinionated, newsletters are generic and on someone else's schedule. The gap this project fills: a private, rule-based, plain-English economic briefing that answers to one reader.</w:t>
      </w:r>
    </w:p>
    <w:p>
      <w:pPr>
        <w:spacing w:after="60" w:before="260"/>
      </w:pPr>
      <w:r>
        <w:rPr>
          <w:rFonts w:ascii="Helvetica Neue" w:cs="Helvetica Neue" w:eastAsia="Helvetica Neue" w:hAnsi="Helvetica Neue"/>
          <w:b/>
          <w:bCs/>
          <w:color w:val="2E7D5B"/>
          <w:spacing w:val="24"/>
          <w:sz w:val="17"/>
          <w:szCs w:val="17"/>
        </w:rPr>
        <w:t xml:space="preserve">OBJECTIVE</w:t>
      </w:r>
    </w:p>
    <w:p>
      <w:pPr>
        <w:spacing w:after="90" w:line="250"/>
      </w:pPr>
      <w:r>
        <w:rPr>
          <w:rFonts w:ascii="Helvetica Neue" w:cs="Helvetica Neue" w:eastAsia="Helvetica Neue" w:hAnsi="Helvetica Neue"/>
          <w:color w:val="1A211D"/>
          <w:sz w:val="19"/>
          <w:szCs w:val="19"/>
        </w:rPr>
        <w:t xml:space="preserve">Give the CEO one trustworthy, private read on the U.S. economy every day — short enough to absorb in ten seconds, written well enough to quote out loud — without subscriptions, staff, or time spent scanning financial media. The product is a private web app, optimized for mobile viewing: it reads cleanly on a phone, can be added to the home screen like a native app, and still opens instantly with the last briefing when there's no signal. It updates itself twice a day (9:45 AM and 5:30 PM ET) with a plain-English briefing and a dashboard of economic measures with up to ten years of history behind every figure.</w:t>
      </w:r>
    </w:p>
    <w:p>
      <w:pPr>
        <w:spacing w:after="60" w:before="260"/>
      </w:pPr>
      <w:r>
        <w:rPr>
          <w:rFonts w:ascii="Helvetica Neue" w:cs="Helvetica Neue" w:eastAsia="Helvetica Neue" w:hAnsi="Helvetica Neue"/>
          <w:b/>
          <w:bCs/>
          <w:color w:val="2E7D5B"/>
          <w:spacing w:val="24"/>
          <w:sz w:val="17"/>
          <w:szCs w:val="17"/>
        </w:rPr>
        <w:t xml:space="preserve">BENEFITS TO THE CLIENT</w:t>
      </w:r>
    </w:p>
    <w:p>
      <w:pPr>
        <w:pStyle w:val="ListParagraph"/>
        <w:numPr>
          <w:ilvl w:val="0"/>
          <w:numId w:val="2"/>
        </w:numPr>
        <w:spacing w:after="50" w:line="246"/>
      </w:pPr>
      <w:r>
        <w:rPr>
          <w:rFonts w:ascii="Helvetica Neue" w:cs="Helvetica Neue" w:eastAsia="Helvetica Neue" w:hAnsi="Helvetica Neue"/>
          <w:b/>
          <w:bCs/>
          <w:color w:val="1A211D"/>
          <w:sz w:val="19"/>
          <w:szCs w:val="19"/>
        </w:rPr>
        <w:t xml:space="preserve">Time. </w:t>
      </w:r>
      <w:r>
        <w:rPr>
          <w:rFonts w:ascii="Helvetica Neue" w:cs="Helvetica Neue" w:eastAsia="Helvetica Neue" w:hAnsi="Helvetica Neue"/>
          <w:color w:val="1A211D"/>
          <w:sz w:val="19"/>
          <w:szCs w:val="19"/>
        </w:rPr>
        <w:t xml:space="preserve">One ten-second read replaces scanning financial media — delivered before the market open and after the close, every day, unattended.</w:t>
      </w:r>
    </w:p>
    <w:p>
      <w:pPr>
        <w:pStyle w:val="ListParagraph"/>
        <w:numPr>
          <w:ilvl w:val="0"/>
          <w:numId w:val="2"/>
        </w:numPr>
        <w:spacing w:after="50" w:line="246"/>
      </w:pPr>
      <w:r>
        <w:rPr>
          <w:rFonts w:ascii="Helvetica Neue" w:cs="Helvetica Neue" w:eastAsia="Helvetica Neue" w:hAnsi="Helvetica Neue"/>
          <w:b/>
          <w:bCs/>
          <w:color w:val="1A211D"/>
          <w:sz w:val="19"/>
          <w:szCs w:val="19"/>
        </w:rPr>
        <w:t xml:space="preserve">Confidence. </w:t>
      </w:r>
      <w:r>
        <w:rPr>
          <w:rFonts w:ascii="Helvetica Neue" w:cs="Helvetica Neue" w:eastAsia="Helvetica Neue" w:hAnsi="Helvetica Neue"/>
          <w:color w:val="1A211D"/>
          <w:sz w:val="19"/>
          <w:szCs w:val="19"/>
        </w:rPr>
        <w:t xml:space="preserve">The daily judgment comes from fixed rules Bruce approved in writing — never machine improvisation — and every number is checked against its official source before he sees it.</w:t>
      </w:r>
    </w:p>
    <w:p>
      <w:pPr>
        <w:pStyle w:val="ListParagraph"/>
        <w:numPr>
          <w:ilvl w:val="0"/>
          <w:numId w:val="2"/>
        </w:numPr>
        <w:spacing w:after="50" w:line="246"/>
      </w:pPr>
      <w:r>
        <w:rPr>
          <w:rFonts w:ascii="Helvetica Neue" w:cs="Helvetica Neue" w:eastAsia="Helvetica Neue" w:hAnsi="Helvetica Neue"/>
          <w:b/>
          <w:bCs/>
          <w:color w:val="1A211D"/>
          <w:sz w:val="19"/>
          <w:szCs w:val="19"/>
        </w:rPr>
        <w:t xml:space="preserve">Conversation-ready. </w:t>
      </w:r>
      <w:r>
        <w:rPr>
          <w:rFonts w:ascii="Helvetica Neue" w:cs="Helvetica Neue" w:eastAsia="Helvetica Neue" w:hAnsi="Helvetica Neue"/>
          <w:color w:val="1A211D"/>
          <w:sz w:val="19"/>
          <w:szCs w:val="19"/>
        </w:rPr>
        <w:t xml:space="preserve">Each briefing is written to be quoted aloud, with numbers phrased for speech and a cue line whenever something moved in the last 24 hours.</w:t>
      </w:r>
    </w:p>
    <w:p>
      <w:pPr>
        <w:pStyle w:val="ListParagraph"/>
        <w:numPr>
          <w:ilvl w:val="0"/>
          <w:numId w:val="2"/>
        </w:numPr>
        <w:spacing w:after="50" w:line="246"/>
      </w:pPr>
      <w:r>
        <w:rPr>
          <w:rFonts w:ascii="Helvetica Neue" w:cs="Helvetica Neue" w:eastAsia="Helvetica Neue" w:hAnsi="Helvetica Neue"/>
          <w:b/>
          <w:bCs/>
          <w:color w:val="1A211D"/>
          <w:sz w:val="19"/>
          <w:szCs w:val="19"/>
        </w:rPr>
        <w:t xml:space="preserve">Zero cost, zero leverage. </w:t>
      </w:r>
      <w:r>
        <w:rPr>
          <w:rFonts w:ascii="Helvetica Neue" w:cs="Helvetica Neue" w:eastAsia="Helvetica Neue" w:hAnsi="Helvetica Neue"/>
          <w:color w:val="1A211D"/>
          <w:sz w:val="19"/>
          <w:szCs w:val="19"/>
        </w:rPr>
        <w:t xml:space="preserve">Every data source and every piece of infrastructure is free, with no payment method on file anywhere. The July 2026 marketplace review scored these sources 9.3 of 10 against every free alternative; no vendor holds leverage over Bruce.</w:t>
      </w:r>
    </w:p>
    <w:p>
      <w:pPr>
        <w:pStyle w:val="ListParagraph"/>
        <w:numPr>
          <w:ilvl w:val="0"/>
          <w:numId w:val="2"/>
        </w:numPr>
        <w:spacing w:after="50" w:line="246"/>
      </w:pPr>
      <w:r>
        <w:rPr>
          <w:rFonts w:ascii="Helvetica Neue" w:cs="Helvetica Neue" w:eastAsia="Helvetica Neue" w:hAnsi="Helvetica Neue"/>
          <w:b/>
          <w:bCs/>
          <w:color w:val="1A211D"/>
          <w:sz w:val="19"/>
          <w:szCs w:val="19"/>
        </w:rPr>
        <w:t xml:space="preserve">Private and compliant. </w:t>
      </w:r>
      <w:r>
        <w:rPr>
          <w:rFonts w:ascii="Helvetica Neue" w:cs="Helvetica Neue" w:eastAsia="Helvetica Neue" w:hAnsi="Helvetica Neue"/>
          <w:color w:val="1A211D"/>
          <w:sz w:val="19"/>
          <w:szCs w:val="19"/>
        </w:rPr>
        <w:t xml:space="preserve">Built for Bruce alone, which keeps the product clear of investment-adviser regulation; safeguards make the no-advice posture structural, not aspirational.</w:t>
      </w:r>
    </w:p>
    <w:p>
      <w:pPr>
        <w:spacing w:after="60" w:before="260"/>
      </w:pPr>
      <w:r>
        <w:rPr>
          <w:rFonts w:ascii="Helvetica Neue" w:cs="Helvetica Neue" w:eastAsia="Helvetica Neue" w:hAnsi="Helvetica Neue"/>
          <w:b/>
          <w:bCs/>
          <w:color w:val="2E7D5B"/>
          <w:spacing w:val="24"/>
          <w:sz w:val="17"/>
          <w:szCs w:val="17"/>
        </w:rPr>
        <w:t xml:space="preserve">THE DATA SET, BY CATEGORY (IN SCOPE)</w:t>
      </w:r>
    </w:p>
    <w:p>
      <w:pPr>
        <w:spacing w:after="55" w:line="250"/>
      </w:pPr>
      <w:r>
        <w:rPr>
          <w:rFonts w:ascii="Helvetica Neue" w:cs="Helvetica Neue" w:eastAsia="Helvetica Neue" w:hAnsi="Helvetica Neue"/>
          <w:b/>
          <w:bCs/>
          <w:color w:val="1A211D"/>
          <w:sz w:val="19"/>
          <w:szCs w:val="19"/>
        </w:rPr>
        <w:t xml:space="preserve">Growth &amp; debt. </w:t>
      </w:r>
      <w:r>
        <w:rPr>
          <w:rFonts w:ascii="Helvetica Neue" w:cs="Helvetica Neue" w:eastAsia="Helvetica Neue" w:hAnsi="Helvetica Neue"/>
          <w:color w:val="1A211D"/>
          <w:sz w:val="19"/>
          <w:szCs w:val="19"/>
        </w:rPr>
        <w:t xml:space="preserve">Economic output (GDP, shown as the economy's actual size with growth alongside) and the federal debt load.</w:t>
      </w:r>
    </w:p>
    <w:p>
      <w:pPr>
        <w:spacing w:after="55" w:line="250"/>
      </w:pPr>
      <w:r>
        <w:rPr>
          <w:rFonts w:ascii="Helvetica Neue" w:cs="Helvetica Neue" w:eastAsia="Helvetica Neue" w:hAnsi="Helvetica Neue"/>
          <w:b/>
          <w:bCs/>
          <w:color w:val="1A211D"/>
          <w:sz w:val="19"/>
          <w:szCs w:val="19"/>
        </w:rPr>
        <w:t xml:space="preserve">Inflation. </w:t>
      </w:r>
      <w:r>
        <w:rPr>
          <w:rFonts w:ascii="Helvetica Neue" w:cs="Helvetica Neue" w:eastAsia="Helvetica Neue" w:hAnsi="Helvetica Neue"/>
          <w:color w:val="1A211D"/>
          <w:sz w:val="19"/>
          <w:szCs w:val="19"/>
        </w:rPr>
        <w:t xml:space="preserve">Headline CPI and core inflation.</w:t>
      </w:r>
    </w:p>
    <w:p>
      <w:pPr>
        <w:spacing w:after="55" w:line="250"/>
      </w:pPr>
      <w:r>
        <w:rPr>
          <w:rFonts w:ascii="Helvetica Neue" w:cs="Helvetica Neue" w:eastAsia="Helvetica Neue" w:hAnsi="Helvetica Neue"/>
          <w:b/>
          <w:bCs/>
          <w:color w:val="1A211D"/>
          <w:sz w:val="19"/>
          <w:szCs w:val="19"/>
        </w:rPr>
        <w:t xml:space="preserve">Interest rates &amp; policy. </w:t>
      </w:r>
      <w:r>
        <w:rPr>
          <w:rFonts w:ascii="Helvetica Neue" w:cs="Helvetica Neue" w:eastAsia="Helvetica Neue" w:hAnsi="Helvetica Neue"/>
          <w:color w:val="1A211D"/>
          <w:sz w:val="19"/>
          <w:szCs w:val="19"/>
        </w:rPr>
        <w:t xml:space="preserve">Fed funds; the 2-year and 10-year Treasury yields and their spread; the real federal funds rate, indicating the true restrictive or accommodative stance of monetary policy; the real 10-year Treasury yield, net of inflation expectations; and the 10-year TIPS yield, representing the economy's true inflation-adjusted cost of capital.</w:t>
      </w:r>
    </w:p>
    <w:p>
      <w:pPr>
        <w:spacing w:after="55" w:line="250"/>
      </w:pPr>
      <w:r>
        <w:rPr>
          <w:rFonts w:ascii="Helvetica Neue" w:cs="Helvetica Neue" w:eastAsia="Helvetica Neue" w:hAnsi="Helvetica Neue"/>
          <w:b/>
          <w:bCs/>
          <w:color w:val="1A211D"/>
          <w:sz w:val="19"/>
          <w:szCs w:val="19"/>
        </w:rPr>
        <w:t xml:space="preserve">Labor. </w:t>
      </w:r>
      <w:r>
        <w:rPr>
          <w:rFonts w:ascii="Helvetica Neue" w:cs="Helvetica Neue" w:eastAsia="Helvetica Neue" w:hAnsi="Helvetica Neue"/>
          <w:color w:val="1A211D"/>
          <w:sz w:val="19"/>
          <w:szCs w:val="19"/>
        </w:rPr>
        <w:t xml:space="preserve">Jobless claims, unemployment rate, participation, and monthly payrolls.</w:t>
      </w:r>
    </w:p>
    <w:p>
      <w:pPr>
        <w:spacing w:after="55" w:line="250"/>
      </w:pPr>
      <w:r>
        <w:rPr>
          <w:rFonts w:ascii="Helvetica Neue" w:cs="Helvetica Neue" w:eastAsia="Helvetica Neue" w:hAnsi="Helvetica Neue"/>
          <w:b/>
          <w:bCs/>
          <w:color w:val="1A211D"/>
          <w:sz w:val="19"/>
          <w:szCs w:val="19"/>
        </w:rPr>
        <w:t xml:space="preserve">Activity &amp; sentiment. </w:t>
      </w:r>
      <w:r>
        <w:rPr>
          <w:rFonts w:ascii="Helvetica Neue" w:cs="Helvetica Neue" w:eastAsia="Helvetica Neue" w:hAnsi="Helvetica Neue"/>
          <w:color w:val="1A211D"/>
          <w:sz w:val="19"/>
          <w:szCs w:val="19"/>
        </w:rPr>
        <w:t xml:space="preserve">Consumer sentiment; capacity utilization, measuring the active share of the nation's factory base; headcount trends within the manufacturing sector; and employment levels across the construction industry.</w:t>
      </w:r>
    </w:p>
    <w:p>
      <w:pPr>
        <w:spacing w:after="55" w:line="250"/>
      </w:pPr>
      <w:r>
        <w:rPr>
          <w:rFonts w:ascii="Helvetica Neue" w:cs="Helvetica Neue" w:eastAsia="Helvetica Neue" w:hAnsi="Helvetica Neue"/>
          <w:b/>
          <w:bCs/>
          <w:color w:val="1A211D"/>
          <w:sz w:val="19"/>
          <w:szCs w:val="19"/>
        </w:rPr>
        <w:t xml:space="preserve">Housing. </w:t>
      </w:r>
      <w:r>
        <w:rPr>
          <w:rFonts w:ascii="Helvetica Neue" w:cs="Helvetica Neue" w:eastAsia="Helvetica Neue" w:hAnsi="Helvetica Neue"/>
          <w:color w:val="1A211D"/>
          <w:sz w:val="19"/>
          <w:szCs w:val="19"/>
        </w:rPr>
        <w:t xml:space="preserve">Monthly starts and 30-year fixed mortgage rates.</w:t>
      </w:r>
    </w:p>
    <w:p>
      <w:pPr>
        <w:spacing w:after="55" w:line="250"/>
      </w:pPr>
      <w:r>
        <w:rPr>
          <w:rFonts w:ascii="Helvetica Neue" w:cs="Helvetica Neue" w:eastAsia="Helvetica Neue" w:hAnsi="Helvetica Neue"/>
          <w:b/>
          <w:bCs/>
          <w:color w:val="1A211D"/>
          <w:sz w:val="19"/>
          <w:szCs w:val="19"/>
        </w:rPr>
        <w:t xml:space="preserve">Markets — context only. </w:t>
      </w:r>
      <w:r>
        <w:rPr>
          <w:rFonts w:ascii="Helvetica Neue" w:cs="Helvetica Neue" w:eastAsia="Helvetica Neue" w:hAnsi="Helvetica Neue"/>
          <w:color w:val="1A211D"/>
          <w:sz w:val="19"/>
          <w:szCs w:val="19"/>
        </w:rPr>
        <w:t xml:space="preserve">Total market capitalization of U.S. public equities; current credit spreads across the market (if a 10-year Treasury yields 4% and a comparable high-yield corporate bond yields 7%, the credit spread is 3%, or 300 basis points); the Nasdaq and S&amp;P 500; the VIX volatility index (arriving in Phase 1); Brent crude prices, signaling energy expenses and inflationary forces (replacing WTI in Phase 1); a real gold spot price (arriving in Phase 2, approved direction); and the trade-weighted US Dollar index, reflecting import costs and global liquidity.</w:t>
      </w:r>
    </w:p>
    <w:p>
      <w:pPr>
        <w:spacing w:after="55" w:line="250"/>
      </w:pPr>
      <w:r>
        <w:rPr>
          <w:rFonts w:ascii="Helvetica Neue" w:cs="Helvetica Neue" w:eastAsia="Helvetica Neue" w:hAnsi="Helvetica Neue"/>
          <w:b/>
          <w:bCs/>
          <w:color w:val="1A211D"/>
          <w:sz w:val="19"/>
          <w:szCs w:val="19"/>
        </w:rPr>
        <w:t xml:space="preserve">The summary judgment. </w:t>
      </w:r>
      <w:r>
        <w:rPr>
          <w:rFonts w:ascii="Helvetica Neue" w:cs="Helvetica Neue" w:eastAsia="Helvetica Neue" w:hAnsi="Helvetica Neue"/>
          <w:color w:val="1A211D"/>
          <w:sz w:val="19"/>
          <w:szCs w:val="19"/>
        </w:rPr>
        <w:t xml:space="preserve">A standing economic read derived from the above (“soft landing,” “slowdown,” “stagflation risk” …), produced by the approved rules.</w:t>
      </w:r>
    </w:p>
    <w:p>
      <w:pPr>
        <w:spacing w:after="60" w:before="260"/>
      </w:pPr>
      <w:r>
        <w:rPr>
          <w:rFonts w:ascii="Helvetica Neue" w:cs="Helvetica Neue" w:eastAsia="Helvetica Neue" w:hAnsi="Helvetica Neue"/>
          <w:b/>
          <w:bCs/>
          <w:color w:val="2E7D5B"/>
          <w:spacing w:val="24"/>
          <w:sz w:val="17"/>
          <w:szCs w:val="17"/>
        </w:rPr>
        <w:t xml:space="preserve">OUT OF SCOPE</w:t>
      </w:r>
    </w:p>
    <w:p>
      <w:pPr>
        <w:spacing w:after="80" w:line="250"/>
      </w:pPr>
      <w:r>
        <w:rPr>
          <w:rFonts w:ascii="Helvetica Neue" w:cs="Helvetica Neue" w:eastAsia="Helvetica Neue" w:hAnsi="Helvetica Neue"/>
          <w:b/>
          <w:bCs/>
          <w:color w:val="1A211D"/>
          <w:sz w:val="19"/>
          <w:szCs w:val="19"/>
        </w:rPr>
        <w:t xml:space="preserve">All metrics not included in the scope above are out of scope.</w:t>
      </w:r>
    </w:p>
    <w:p>
      <w:pPr>
        <w:spacing w:after="50" w:before="120"/>
      </w:pPr>
      <w:r>
        <w:rPr>
          <w:rFonts w:ascii="Helvetica Neue" w:cs="Helvetica Neue" w:eastAsia="Helvetica Neue" w:hAnsi="Helvetica Neue"/>
          <w:b/>
          <w:bCs/>
          <w:color w:val="1A211D"/>
          <w:sz w:val="19"/>
          <w:szCs w:val="19"/>
        </w:rPr>
        <w:t xml:space="preserve">Disclaimers</w:t>
      </w:r>
    </w:p>
    <w:p>
      <w:pPr>
        <w:spacing w:after="80" w:line="250"/>
      </w:pPr>
      <w:r>
        <w:rPr>
          <w:rFonts w:ascii="Helvetica Neue" w:cs="Helvetica Neue" w:eastAsia="Helvetica Neue" w:hAnsi="Helvetica Neue"/>
          <w:color w:val="1A211D"/>
          <w:sz w:val="19"/>
          <w:szCs w:val="19"/>
        </w:rPr>
        <w:t xml:space="preserve">This tool describes the economy; it never advises. It will not say buy, sell, or recommend, and automated safeguards block any such language before publication. Market prices are displayed for context only and are kept away from the writing engine. It is a single-user product for the CEO alone, not a client-facing service; any change to that posture is a separate decision that returns to this desk. The product carries no paid data: measures whose data is licensed property with no lawful free source (small-cap indices, Manufacturing PMI, fund prices such as IWM and BUZZ, the official London gold benchmark) cannot appear until either the licensing world changes or the no-paid-data rule does. Figures are as current as their official sources allow — government statistics arrive on the government's calendar, and daily market figures reflect the prior close.</w:t>
      </w:r>
    </w:p>
    <w:p>
      <w:pPr>
        <w:spacing w:after="50" w:before="120"/>
      </w:pPr>
      <w:r>
        <w:rPr>
          <w:rFonts w:ascii="Helvetica Neue" w:cs="Helvetica Neue" w:eastAsia="Helvetica Neue" w:hAnsi="Helvetica Neue"/>
          <w:b/>
          <w:bCs/>
          <w:color w:val="1A211D"/>
          <w:sz w:val="19"/>
          <w:szCs w:val="19"/>
        </w:rPr>
        <w:t xml:space="preserve">Suggested Version Chronology (future features and phases)</w:t>
      </w:r>
    </w:p>
    <w:tbl>
      <w:tblPr>
        <w:tblW w:type="dxa" w:w="10370"/>
        <w:tblBorders>
          <w:top w:val="single" w:color="auto" w:sz="4"/>
          <w:left w:val="single" w:color="auto" w:sz="4"/>
          <w:bottom w:val="single" w:color="auto" w:sz="4"/>
          <w:right w:val="single" w:color="auto" w:sz="4"/>
          <w:insideH w:val="single" w:color="auto" w:sz="4"/>
          <w:insideV w:val="single" w:color="auto" w:sz="4"/>
        </w:tblBorders>
      </w:tblPr>
      <w:tblGrid>
        <w:gridCol w:w="1450"/>
        <w:gridCol w:w="2300"/>
        <w:gridCol w:w="4750"/>
        <w:gridCol w:w="1870"/>
      </w:tblGrid>
      <w:tr>
        <w:tc>
          <w:tcPr>
            <w:tcW w:type="dxa" w:w="1450"/>
            <w:tcBorders>
              <w:top w:val="single" w:color="C9CFC9" w:sz="4"/>
              <w:left w:val="none" w:color="FFFFFF" w:sz="0"/>
              <w:bottom w:val="single" w:color="C9CFC9" w:sz="4"/>
              <w:right w:val="none" w:color="FFFFFF" w:sz="0"/>
            </w:tcBorders>
            <w:shd w:fill="EDF1ED" w:val="clear"/>
            <w:tcMar>
              <w:top w:type="dxa" w:w="45"/>
              <w:left w:type="dxa" w:w="80"/>
              <w:bottom w:type="dxa" w:w="45"/>
              <w:right w:type="dxa" w:w="80"/>
            </w:tcMar>
          </w:tcPr>
          <w:p>
            <w:pPr>
              <w:spacing w:after="0" w:line="228"/>
            </w:pPr>
            <w:r>
              <w:rPr>
                <w:rFonts w:ascii="Helvetica Neue" w:cs="Helvetica Neue" w:eastAsia="Helvetica Neue" w:hAnsi="Helvetica Neue"/>
                <w:b/>
                <w:bCs/>
                <w:color w:val="5A6660"/>
                <w:sz w:val="14"/>
                <w:szCs w:val="14"/>
              </w:rPr>
              <w:t xml:space="preserve">Version</w:t>
            </w:r>
          </w:p>
        </w:tc>
        <w:tc>
          <w:tcPr>
            <w:tcW w:type="dxa" w:w="2300"/>
            <w:tcBorders>
              <w:top w:val="single" w:color="C9CFC9" w:sz="4"/>
              <w:left w:val="none" w:color="FFFFFF" w:sz="0"/>
              <w:bottom w:val="single" w:color="C9CFC9" w:sz="4"/>
              <w:right w:val="none" w:color="FFFFFF" w:sz="0"/>
            </w:tcBorders>
            <w:shd w:fill="EDF1ED" w:val="clear"/>
            <w:tcMar>
              <w:top w:type="dxa" w:w="45"/>
              <w:left w:type="dxa" w:w="80"/>
              <w:bottom w:type="dxa" w:w="45"/>
              <w:right w:type="dxa" w:w="80"/>
            </w:tcMar>
          </w:tcPr>
          <w:p>
            <w:pPr>
              <w:spacing w:after="0" w:line="228"/>
            </w:pPr>
            <w:r>
              <w:rPr>
                <w:rFonts w:ascii="Helvetica Neue" w:cs="Helvetica Neue" w:eastAsia="Helvetica Neue" w:hAnsi="Helvetica Neue"/>
                <w:b/>
                <w:bCs/>
                <w:color w:val="5A6660"/>
                <w:sz w:val="14"/>
                <w:szCs w:val="14"/>
              </w:rPr>
              <w:t xml:space="preserve">When</w:t>
            </w:r>
          </w:p>
        </w:tc>
        <w:tc>
          <w:tcPr>
            <w:tcW w:type="dxa" w:w="4750"/>
            <w:tcBorders>
              <w:top w:val="single" w:color="C9CFC9" w:sz="4"/>
              <w:left w:val="none" w:color="FFFFFF" w:sz="0"/>
              <w:bottom w:val="single" w:color="C9CFC9" w:sz="4"/>
              <w:right w:val="none" w:color="FFFFFF" w:sz="0"/>
            </w:tcBorders>
            <w:shd w:fill="EDF1ED" w:val="clear"/>
            <w:tcMar>
              <w:top w:type="dxa" w:w="45"/>
              <w:left w:type="dxa" w:w="80"/>
              <w:bottom w:type="dxa" w:w="45"/>
              <w:right w:type="dxa" w:w="80"/>
            </w:tcMar>
          </w:tcPr>
          <w:p>
            <w:pPr>
              <w:spacing w:after="0" w:line="228"/>
            </w:pPr>
            <w:r>
              <w:rPr>
                <w:rFonts w:ascii="Helvetica Neue" w:cs="Helvetica Neue" w:eastAsia="Helvetica Neue" w:hAnsi="Helvetica Neue"/>
                <w:b/>
                <w:bCs/>
                <w:color w:val="5A6660"/>
                <w:sz w:val="14"/>
                <w:szCs w:val="14"/>
              </w:rPr>
              <w:t xml:space="preserve">What</w:t>
            </w:r>
          </w:p>
        </w:tc>
        <w:tc>
          <w:tcPr>
            <w:tcW w:type="dxa" w:w="1870"/>
            <w:tcBorders>
              <w:top w:val="single" w:color="C9CFC9" w:sz="4"/>
              <w:left w:val="none" w:color="FFFFFF" w:sz="0"/>
              <w:bottom w:val="single" w:color="C9CFC9" w:sz="4"/>
              <w:right w:val="none" w:color="FFFFFF" w:sz="0"/>
            </w:tcBorders>
            <w:shd w:fill="EDF1ED" w:val="clear"/>
            <w:tcMar>
              <w:top w:type="dxa" w:w="45"/>
              <w:left w:type="dxa" w:w="80"/>
              <w:bottom w:type="dxa" w:w="45"/>
              <w:right w:type="dxa" w:w="80"/>
            </w:tcMar>
          </w:tcPr>
          <w:p>
            <w:pPr>
              <w:spacing w:after="0" w:line="228"/>
            </w:pPr>
            <w:r>
              <w:rPr>
                <w:rFonts w:ascii="Helvetica Neue" w:cs="Helvetica Neue" w:eastAsia="Helvetica Neue" w:hAnsi="Helvetica Neue"/>
                <w:b/>
                <w:bCs/>
                <w:color w:val="5A6660"/>
                <w:sz w:val="14"/>
                <w:szCs w:val="14"/>
              </w:rPr>
              <w:t xml:space="preserve">Gate</w:t>
            </w:r>
          </w:p>
        </w:tc>
      </w:tr>
      <w:tr>
        <w:tc>
          <w:tcPr>
            <w:tcW w:type="dxa" w:w="14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bCs/>
                <w:color w:val="1A211D"/>
                <w:sz w:val="16"/>
                <w:szCs w:val="16"/>
              </w:rPr>
              <w:t xml:space="preserve">V2.1</w:t>
            </w:r>
          </w:p>
        </w:tc>
        <w:tc>
          <w:tcPr>
            <w:tcW w:type="dxa" w:w="23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Phase 1 · Jul 20–24</w:t>
            </w:r>
          </w:p>
        </w:tc>
        <w:tc>
          <w:tcPr>
            <w:tcW w:type="dxa" w:w="47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VIX row; Brent replaces WTI; retail sales and industrial production removed</w:t>
            </w:r>
          </w:p>
        </w:tc>
        <w:tc>
          <w:tcPr>
            <w:tcW w:type="dxa" w:w="187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Approved (this charter)</w:t>
            </w:r>
          </w:p>
        </w:tc>
      </w:tr>
      <w:tr>
        <w:tc>
          <w:tcPr>
            <w:tcW w:type="dxa" w:w="14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bCs/>
                <w:color w:val="1A211D"/>
                <w:sz w:val="16"/>
                <w:szCs w:val="16"/>
              </w:rPr>
              <w:t xml:space="preserve">V2.2</w:t>
            </w:r>
          </w:p>
        </w:tc>
        <w:tc>
          <w:tcPr>
            <w:tcW w:type="dxa" w:w="23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Phase 2–3 · Jul 27–Aug 21</w:t>
            </w:r>
          </w:p>
        </w:tc>
        <w:tc>
          <w:tcPr>
            <w:tcW w:type="dxa" w:w="47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Real gold spot row (gold-api.com, with vendor caveat); compliance record; optional news-sentiment drawer row per the July 17 proxy report</w:t>
            </w:r>
          </w:p>
        </w:tc>
        <w:tc>
          <w:tcPr>
            <w:tcW w:type="dxa" w:w="187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CEO sign-off on report + record</w:t>
            </w:r>
          </w:p>
        </w:tc>
      </w:tr>
      <w:tr>
        <w:tc>
          <w:tcPr>
            <w:tcW w:type="dxa" w:w="14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bCs/>
                <w:color w:val="1A211D"/>
                <w:sz w:val="16"/>
                <w:szCs w:val="16"/>
              </w:rPr>
              <w:t xml:space="preserve">V2.3</w:t>
            </w:r>
          </w:p>
        </w:tc>
        <w:tc>
          <w:tcPr>
            <w:tcW w:type="dxa" w:w="23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Pending voice approval</w:t>
            </w:r>
          </w:p>
        </w:tc>
        <w:tc>
          <w:tcPr>
            <w:tcW w:type="dxa" w:w="47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Writing upgrade: each numbered line ends with a plain-language cue to what the number means (audit-passed on substance)</w:t>
            </w:r>
          </w:p>
        </w:tc>
        <w:tc>
          <w:tcPr>
            <w:tcW w:type="dxa" w:w="187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CEO voice approval</w:t>
            </w:r>
          </w:p>
        </w:tc>
      </w:tr>
      <w:tr>
        <w:tc>
          <w:tcPr>
            <w:tcW w:type="dxa" w:w="14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bCs/>
                <w:color w:val="1A211D"/>
                <w:sz w:val="16"/>
                <w:szCs w:val="16"/>
              </w:rPr>
              <w:t xml:space="preserve">V2.4</w:t>
            </w:r>
          </w:p>
        </w:tc>
        <w:tc>
          <w:tcPr>
            <w:tcW w:type="dxa" w:w="23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When accounts created</w:t>
            </w:r>
          </w:p>
        </w:tc>
        <w:tc>
          <w:tcPr>
            <w:tcW w:type="dxa" w:w="47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Alerting goes live: outage text/email alerts (code is ready; needs free monitoring accounts to be opened)</w:t>
            </w:r>
          </w:p>
        </w:tc>
        <w:tc>
          <w:tcPr>
            <w:tcW w:type="dxa" w:w="187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Operator setup</w:t>
            </w:r>
          </w:p>
        </w:tc>
      </w:tr>
      <w:tr>
        <w:tc>
          <w:tcPr>
            <w:tcW w:type="dxa" w:w="14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bCs/>
                <w:color w:val="1A211D"/>
                <w:sz w:val="16"/>
                <w:szCs w:val="16"/>
              </w:rPr>
              <w:t xml:space="preserve">V3.0</w:t>
            </w:r>
          </w:p>
        </w:tc>
        <w:tc>
          <w:tcPr>
            <w:tcW w:type="dxa" w:w="23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~Q4 2026 review</w:t>
            </w:r>
          </w:p>
        </w:tc>
        <w:tc>
          <w:tcPr>
            <w:tcW w:type="dxa" w:w="47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Paid-data re-evaluation: would unlock IWM (small-caps), BUZZ (social sentiment), Manufacturing PMI, same-day market closes, and the official gold benchmark</w:t>
            </w:r>
          </w:p>
        </w:tc>
        <w:tc>
          <w:tcPr>
            <w:tcW w:type="dxa" w:w="187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CEO budget sign-off</w:t>
            </w:r>
          </w:p>
        </w:tc>
      </w:tr>
      <w:tr>
        <w:tc>
          <w:tcPr>
            <w:tcW w:type="dxa" w:w="14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bCs/>
                <w:color w:val="1A211D"/>
                <w:sz w:val="16"/>
                <w:szCs w:val="16"/>
              </w:rPr>
              <w:t xml:space="preserve">V4.0</w:t>
            </w:r>
          </w:p>
        </w:tc>
        <w:tc>
          <w:tcPr>
            <w:tcW w:type="dxa" w:w="23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Unscheduled idea</w:t>
            </w:r>
          </w:p>
        </w:tc>
        <w:tc>
          <w:tcPr>
            <w:tcW w:type="dxa" w:w="47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Additional readers beyond the CEO — changes the single-user compliance posture</w:t>
            </w:r>
          </w:p>
        </w:tc>
        <w:tc>
          <w:tcPr>
            <w:tcW w:type="dxa" w:w="187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Returns to this desk</w:t>
            </w:r>
          </w:p>
        </w:tc>
      </w:tr>
    </w:tbl>
    <w:p>
      <w:pPr>
        <w:spacing w:after="40" w:line="250"/>
      </w:pPr>
      <w:r>
        <w:rPr>
          <w:rFonts w:ascii="Helvetica Neue" w:cs="Helvetica Neue" w:eastAsia="Helvetica Neue" w:hAnsi="Helvetica Neue"/>
          <w:color w:val="5A6660"/>
          <w:sz w:val="15"/>
          <w:szCs w:val="15"/>
        </w:rPr>
        <w:t xml:space="preserve">The July 17 proxy report (measured on ten years of price history) found the dashboard's existing S&amp;P 500 and Nasdaq rows already carry 86–91% of IWM's and BUZZ's daily movement — the basis for deferring both to V3.0 rather than accepting a terms-violating free source.</w:t>
      </w:r>
    </w:p>
    <w:p>
      <w:pPr>
        <w:spacing w:after="60" w:before="260"/>
      </w:pPr>
      <w:r>
        <w:rPr>
          <w:rFonts w:ascii="Helvetica Neue" w:cs="Helvetica Neue" w:eastAsia="Helvetica Neue" w:hAnsi="Helvetica Neue"/>
          <w:b/>
          <w:bCs/>
          <w:color w:val="2E7D5B"/>
          <w:spacing w:val="24"/>
          <w:sz w:val="17"/>
          <w:szCs w:val="17"/>
        </w:rPr>
        <w:t xml:space="preserve">METHODOLOGY — FROM CHARTER TO PRODUCT</w:t>
      </w:r>
    </w:p>
    <w:p>
      <w:pPr>
        <w:spacing w:after="50" w:line="250"/>
      </w:pPr>
      <w:r>
        <w:rPr>
          <w:rFonts w:ascii="Helvetica Neue" w:cs="Helvetica Neue" w:eastAsia="Helvetica Neue" w:hAnsi="Helvetica Neue"/>
          <w:b/>
          <w:bCs/>
          <w:color w:val="1A211D"/>
          <w:sz w:val="19"/>
          <w:szCs w:val="19"/>
        </w:rPr>
        <w:t xml:space="preserve">1 · Charter. </w:t>
      </w:r>
      <w:r>
        <w:rPr>
          <w:rFonts w:ascii="Helvetica Neue" w:cs="Helvetica Neue" w:eastAsia="Helvetica Neue" w:hAnsi="Helvetica Neue"/>
          <w:color w:val="1A211D"/>
          <w:sz w:val="19"/>
          <w:szCs w:val="19"/>
        </w:rPr>
        <w:t xml:space="preserve">This document: what the product is, for whom, what it will and won't do. Nothing proceeds without the CEO's signature.</w:t>
      </w:r>
    </w:p>
    <w:p>
      <w:pPr>
        <w:spacing w:after="50" w:line="250"/>
      </w:pPr>
      <w:r>
        <w:rPr>
          <w:rFonts w:ascii="Helvetica Neue" w:cs="Helvetica Neue" w:eastAsia="Helvetica Neue" w:hAnsi="Helvetica Neue"/>
          <w:b/>
          <w:bCs/>
          <w:color w:val="1A211D"/>
          <w:sz w:val="19"/>
          <w:szCs w:val="19"/>
        </w:rPr>
        <w:t xml:space="preserve">2 · Design lock. </w:t>
      </w:r>
      <w:r>
        <w:rPr>
          <w:rFonts w:ascii="Helvetica Neue" w:cs="Helvetica Neue" w:eastAsia="Helvetica Neue" w:hAnsi="Helvetica Neue"/>
          <w:color w:val="1A211D"/>
          <w:sz w:val="19"/>
          <w:szCs w:val="19"/>
        </w:rPr>
        <w:t xml:space="preserve">Every decision that touches trust — the voice, the measures, the judgment rules, the compliance lines — is written down and signed before anything is built. Nine such decisions are on file.</w:t>
      </w:r>
    </w:p>
    <w:p>
      <w:pPr>
        <w:spacing w:after="50" w:line="250"/>
      </w:pPr>
      <w:r>
        <w:rPr>
          <w:rFonts w:ascii="Helvetica Neue" w:cs="Helvetica Neue" w:eastAsia="Helvetica Neue" w:hAnsi="Helvetica Neue"/>
          <w:b/>
          <w:bCs/>
          <w:color w:val="1A211D"/>
          <w:sz w:val="19"/>
          <w:szCs w:val="19"/>
        </w:rPr>
        <w:t xml:space="preserve">3 · Prototype. </w:t>
      </w:r>
      <w:r>
        <w:rPr>
          <w:rFonts w:ascii="Helvetica Neue" w:cs="Helvetica Neue" w:eastAsia="Helvetica Neue" w:hAnsi="Helvetica Neue"/>
          <w:color w:val="1A211D"/>
          <w:sz w:val="19"/>
          <w:szCs w:val="19"/>
        </w:rPr>
        <w:t xml:space="preserve">The operator builds against the locked design. The June 2026 prototype went from design lock to a working product in one week.</w:t>
      </w:r>
    </w:p>
    <w:p>
      <w:pPr>
        <w:spacing w:after="50" w:line="250"/>
      </w:pPr>
      <w:r>
        <w:rPr>
          <w:rFonts w:ascii="Helvetica Neue" w:cs="Helvetica Neue" w:eastAsia="Helvetica Neue" w:hAnsi="Helvetica Neue"/>
          <w:b/>
          <w:bCs/>
          <w:color w:val="1A211D"/>
          <w:sz w:val="19"/>
          <w:szCs w:val="19"/>
        </w:rPr>
        <w:t xml:space="preserve">4 · Verification before launch. </w:t>
      </w:r>
      <w:r>
        <w:rPr>
          <w:rFonts w:ascii="Helvetica Neue" w:cs="Helvetica Neue" w:eastAsia="Helvetica Neue" w:hAnsi="Helvetica Neue"/>
          <w:color w:val="1A211D"/>
          <w:sz w:val="19"/>
          <w:szCs w:val="19"/>
        </w:rPr>
        <w:t xml:space="preserve">This is how risk is mitigated here: nothing advances on judgment alone. The writing passed an independent quality audit; every number was verified against its official source; a 23-point launch checklist was completed and signed. Claims get verified, then believed.</w:t>
      </w:r>
    </w:p>
    <w:p>
      <w:pPr>
        <w:spacing w:after="50" w:line="250"/>
      </w:pPr>
      <w:r>
        <w:rPr>
          <w:rFonts w:ascii="Helvetica Neue" w:cs="Helvetica Neue" w:eastAsia="Helvetica Neue" w:hAnsi="Helvetica Neue"/>
          <w:b/>
          <w:bCs/>
          <w:color w:val="1A211D"/>
          <w:sz w:val="19"/>
          <w:szCs w:val="19"/>
        </w:rPr>
        <w:t xml:space="preserve">5 · Launch. </w:t>
      </w:r>
      <w:r>
        <w:rPr>
          <w:rFonts w:ascii="Helvetica Neue" w:cs="Helvetica Neue" w:eastAsia="Helvetica Neue" w:hAnsi="Helvetica Neue"/>
          <w:color w:val="1A211D"/>
          <w:sz w:val="19"/>
          <w:szCs w:val="19"/>
        </w:rPr>
        <w:t xml:space="preserve">Live June 18, 2026. Publishing is automatic and reversible in one step.</w:t>
      </w:r>
    </w:p>
    <w:p>
      <w:pPr>
        <w:spacing w:after="50" w:line="250"/>
      </w:pPr>
      <w:r>
        <w:rPr>
          <w:rFonts w:ascii="Helvetica Neue" w:cs="Helvetica Neue" w:eastAsia="Helvetica Neue" w:hAnsi="Helvetica Neue"/>
          <w:b/>
          <w:bCs/>
          <w:color w:val="1A211D"/>
          <w:sz w:val="19"/>
          <w:szCs w:val="19"/>
        </w:rPr>
        <w:t xml:space="preserve">6 · Operate and maintain. </w:t>
      </w:r>
      <w:r>
        <w:rPr>
          <w:rFonts w:ascii="Helvetica Neue" w:cs="Helvetica Neue" w:eastAsia="Helvetica Neue" w:hAnsi="Helvetica Neue"/>
          <w:color w:val="1A211D"/>
          <w:sz w:val="19"/>
          <w:szCs w:val="19"/>
        </w:rPr>
        <w:t xml:space="preserve">The system checks itself twice a day (see the next section); the operator reviews monitoring and runs a quarterly source review.</w:t>
      </w:r>
    </w:p>
    <w:p>
      <w:pPr>
        <w:spacing w:after="90" w:line="250"/>
      </w:pPr>
      <w:r>
        <w:rPr>
          <w:rFonts w:ascii="Helvetica Neue" w:cs="Helvetica Neue" w:eastAsia="Helvetica Neue" w:hAnsi="Helvetica Neue"/>
          <w:b/>
          <w:bCs/>
          <w:color w:val="1A211D"/>
          <w:sz w:val="19"/>
          <w:szCs w:val="19"/>
        </w:rPr>
        <w:t xml:space="preserve">7 · Change control. </w:t>
      </w:r>
      <w:r>
        <w:rPr>
          <w:rFonts w:ascii="Helvetica Neue" w:cs="Helvetica Neue" w:eastAsia="Helvetica Neue" w:hAnsi="Helvetica Neue"/>
          <w:color w:val="1A211D"/>
          <w:sz w:val="19"/>
          <w:szCs w:val="19"/>
        </w:rPr>
        <w:t xml:space="preserve">Any change touching trust re-enters at step 2: written decision, verification, CEO sign-off, then ship. This charter revision is itself an instance of the process.</w:t>
      </w:r>
    </w:p>
    <w:p>
      <w:pPr>
        <w:spacing w:after="60" w:before="260"/>
      </w:pPr>
      <w:r>
        <w:rPr>
          <w:rFonts w:ascii="Helvetica Neue" w:cs="Helvetica Neue" w:eastAsia="Helvetica Neue" w:hAnsi="Helvetica Neue"/>
          <w:b/>
          <w:bCs/>
          <w:color w:val="2E7D5B"/>
          <w:spacing w:val="24"/>
          <w:sz w:val="17"/>
          <w:szCs w:val="17"/>
        </w:rPr>
        <w:t xml:space="preserve">RELIABILITY, MAINTENANCE &amp; OPERATIONS CONTINUITY</w:t>
      </w:r>
    </w:p>
    <w:p>
      <w:pPr>
        <w:spacing w:after="80" w:line="250"/>
      </w:pPr>
      <w:r>
        <w:rPr>
          <w:rFonts w:ascii="Helvetica Neue" w:cs="Helvetica Neue" w:eastAsia="Helvetica Neue" w:hAnsi="Helvetica Neue"/>
          <w:b/>
          <w:bCs/>
          <w:color w:val="1A211D"/>
          <w:sz w:val="19"/>
          <w:szCs w:val="19"/>
        </w:rPr>
        <w:t xml:space="preserve">Maintenance clause: </w:t>
      </w:r>
      <w:r>
        <w:rPr>
          <w:rFonts w:ascii="Helvetica Neue" w:cs="Helvetica Neue" w:eastAsia="Helvetica Neue" w:hAnsi="Helvetica Neue"/>
          <w:color w:val="1A211D"/>
          <w:sz w:val="19"/>
          <w:szCs w:val="19"/>
        </w:rPr>
        <w:t xml:space="preserve">every risk below is paired with a standing, automated reliability test that catches obviously bad data before publication — checks run twice daily with each update, a monitoring service watches that the updates themselves happen, sources are re-reviewed quarterly (next: October 2026), the release calendar is refreshed annually, and every incident and decision lands in a permanent audit trail.</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2350"/>
        <w:gridCol w:w="1150"/>
        <w:gridCol w:w="2350"/>
        <w:gridCol w:w="2350"/>
        <w:gridCol w:w="2150"/>
      </w:tblGrid>
      <w:tr>
        <w:tc>
          <w:tcPr>
            <w:tcW w:type="dxa" w:w="2350"/>
            <w:tcBorders>
              <w:top w:val="single" w:color="C9CFC9" w:sz="4"/>
              <w:left w:val="none" w:color="FFFFFF" w:sz="0"/>
              <w:bottom w:val="single" w:color="C9CFC9" w:sz="4"/>
              <w:right w:val="none" w:color="FFFFFF" w:sz="0"/>
            </w:tcBorders>
            <w:shd w:fill="EDF1ED" w:val="clear"/>
            <w:tcMar>
              <w:top w:type="dxa" w:w="45"/>
              <w:left w:type="dxa" w:w="80"/>
              <w:bottom w:type="dxa" w:w="45"/>
              <w:right w:type="dxa" w:w="80"/>
            </w:tcMar>
          </w:tcPr>
          <w:p>
            <w:pPr>
              <w:spacing w:after="0" w:line="228"/>
            </w:pPr>
            <w:r>
              <w:rPr>
                <w:rFonts w:ascii="Helvetica Neue" w:cs="Helvetica Neue" w:eastAsia="Helvetica Neue" w:hAnsi="Helvetica Neue"/>
                <w:b/>
                <w:bCs/>
                <w:color w:val="5A6660"/>
                <w:sz w:val="14"/>
                <w:szCs w:val="14"/>
              </w:rPr>
              <w:t xml:space="preserve">Operations risk</w:t>
            </w:r>
          </w:p>
        </w:tc>
        <w:tc>
          <w:tcPr>
            <w:tcW w:type="dxa" w:w="1150"/>
            <w:tcBorders>
              <w:top w:val="single" w:color="C9CFC9" w:sz="4"/>
              <w:left w:val="none" w:color="FFFFFF" w:sz="0"/>
              <w:bottom w:val="single" w:color="C9CFC9" w:sz="4"/>
              <w:right w:val="none" w:color="FFFFFF" w:sz="0"/>
            </w:tcBorders>
            <w:shd w:fill="EDF1ED" w:val="clear"/>
            <w:tcMar>
              <w:top w:type="dxa" w:w="45"/>
              <w:left w:type="dxa" w:w="80"/>
              <w:bottom w:type="dxa" w:w="45"/>
              <w:right w:type="dxa" w:w="80"/>
            </w:tcMar>
          </w:tcPr>
          <w:p>
            <w:pPr>
              <w:spacing w:after="0" w:line="228"/>
            </w:pPr>
            <w:r>
              <w:rPr>
                <w:rFonts w:ascii="Helvetica Neue" w:cs="Helvetica Neue" w:eastAsia="Helvetica Neue" w:hAnsi="Helvetica Neue"/>
                <w:b/>
                <w:bCs/>
                <w:color w:val="5A6660"/>
                <w:sz w:val="14"/>
                <w:szCs w:val="14"/>
              </w:rPr>
              <w:t xml:space="preserve">Probability</w:t>
            </w:r>
          </w:p>
        </w:tc>
        <w:tc>
          <w:tcPr>
            <w:tcW w:type="dxa" w:w="2350"/>
            <w:tcBorders>
              <w:top w:val="single" w:color="C9CFC9" w:sz="4"/>
              <w:left w:val="none" w:color="FFFFFF" w:sz="0"/>
              <w:bottom w:val="single" w:color="C9CFC9" w:sz="4"/>
              <w:right w:val="none" w:color="FFFFFF" w:sz="0"/>
            </w:tcBorders>
            <w:shd w:fill="EDF1ED" w:val="clear"/>
            <w:tcMar>
              <w:top w:type="dxa" w:w="45"/>
              <w:left w:type="dxa" w:w="80"/>
              <w:bottom w:type="dxa" w:w="45"/>
              <w:right w:type="dxa" w:w="80"/>
            </w:tcMar>
          </w:tcPr>
          <w:p>
            <w:pPr>
              <w:spacing w:after="0" w:line="228"/>
            </w:pPr>
            <w:r>
              <w:rPr>
                <w:rFonts w:ascii="Helvetica Neue" w:cs="Helvetica Neue" w:eastAsia="Helvetica Neue" w:hAnsi="Helvetica Neue"/>
                <w:b/>
                <w:bCs/>
                <w:color w:val="5A6660"/>
                <w:sz w:val="14"/>
                <w:szCs w:val="14"/>
              </w:rPr>
              <w:t xml:space="preserve">How it's detected</w:t>
            </w:r>
          </w:p>
        </w:tc>
        <w:tc>
          <w:tcPr>
            <w:tcW w:type="dxa" w:w="2350"/>
            <w:tcBorders>
              <w:top w:val="single" w:color="C9CFC9" w:sz="4"/>
              <w:left w:val="none" w:color="FFFFFF" w:sz="0"/>
              <w:bottom w:val="single" w:color="C9CFC9" w:sz="4"/>
              <w:right w:val="none" w:color="FFFFFF" w:sz="0"/>
            </w:tcBorders>
            <w:shd w:fill="EDF1ED" w:val="clear"/>
            <w:tcMar>
              <w:top w:type="dxa" w:w="45"/>
              <w:left w:type="dxa" w:w="80"/>
              <w:bottom w:type="dxa" w:w="45"/>
              <w:right w:type="dxa" w:w="80"/>
            </w:tcMar>
          </w:tcPr>
          <w:p>
            <w:pPr>
              <w:spacing w:after="0" w:line="228"/>
            </w:pPr>
            <w:r>
              <w:rPr>
                <w:rFonts w:ascii="Helvetica Neue" w:cs="Helvetica Neue" w:eastAsia="Helvetica Neue" w:hAnsi="Helvetica Neue"/>
                <w:b/>
                <w:bCs/>
                <w:color w:val="5A6660"/>
                <w:sz w:val="14"/>
                <w:szCs w:val="14"/>
              </w:rPr>
              <w:t xml:space="preserve">Standing procedure (SOP)</w:t>
            </w:r>
          </w:p>
        </w:tc>
        <w:tc>
          <w:tcPr>
            <w:tcW w:type="dxa" w:w="2150"/>
            <w:tcBorders>
              <w:top w:val="single" w:color="C9CFC9" w:sz="4"/>
              <w:left w:val="none" w:color="FFFFFF" w:sz="0"/>
              <w:bottom w:val="single" w:color="C9CFC9" w:sz="4"/>
              <w:right w:val="none" w:color="FFFFFF" w:sz="0"/>
            </w:tcBorders>
            <w:shd w:fill="EDF1ED" w:val="clear"/>
            <w:tcMar>
              <w:top w:type="dxa" w:w="45"/>
              <w:left w:type="dxa" w:w="80"/>
              <w:bottom w:type="dxa" w:w="45"/>
              <w:right w:type="dxa" w:w="80"/>
            </w:tcMar>
          </w:tcPr>
          <w:p>
            <w:pPr>
              <w:spacing w:after="0" w:line="228"/>
            </w:pPr>
            <w:r>
              <w:rPr>
                <w:rFonts w:ascii="Helvetica Neue" w:cs="Helvetica Neue" w:eastAsia="Helvetica Neue" w:hAnsi="Helvetica Neue"/>
                <w:b/>
                <w:bCs/>
                <w:color w:val="5A6660"/>
                <w:sz w:val="14"/>
                <w:szCs w:val="14"/>
              </w:rPr>
              <w:t xml:space="preserve">Fallback</w:t>
            </w:r>
          </w:p>
        </w:tc>
      </w:tr>
      <w:tr>
        <w:tc>
          <w:tcPr>
            <w:tcW w:type="dxa" w:w="23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A source publishes an obviously wrong number</w:t>
            </w:r>
          </w:p>
        </w:tc>
        <w:tc>
          <w:tcPr>
            <w:tcW w:type="dxa" w:w="11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Occasional</w:t>
            </w:r>
          </w:p>
        </w:tc>
        <w:tc>
          <w:tcPr>
            <w:tcW w:type="dxa" w:w="23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Every figure is checked against its plausible range before publication, every run</w:t>
            </w:r>
          </w:p>
        </w:tc>
        <w:tc>
          <w:tcPr>
            <w:tcW w:type="dxa" w:w="23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Publication halts automatically; operator reviews the same day</w:t>
            </w:r>
          </w:p>
        </w:tc>
        <w:tc>
          <w:tcPr>
            <w:tcW w:type="dxa" w:w="21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The last good briefing stays up — a wrong number never reaches the CEO</w:t>
            </w:r>
          </w:p>
        </w:tc>
      </w:tr>
      <w:tr>
        <w:tc>
          <w:tcPr>
            <w:tcW w:type="dxa" w:w="23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A data source goes down</w:t>
            </w:r>
          </w:p>
        </w:tc>
        <w:tc>
          <w:tcPr>
            <w:tcW w:type="dxa" w:w="11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Rare</w:t>
            </w:r>
          </w:p>
        </w:tc>
        <w:tc>
          <w:tcPr>
            <w:tcW w:type="dxa" w:w="23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The update run fails its data fetch and flags monitoring</w:t>
            </w:r>
          </w:p>
        </w:tc>
        <w:tc>
          <w:tcPr>
            <w:tcW w:type="dxa" w:w="23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Skip that publication; retry at the next scheduled run; operator can trigger a manual run</w:t>
            </w:r>
          </w:p>
        </w:tc>
        <w:tc>
          <w:tcPr>
            <w:tcW w:type="dxa" w:w="21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Last good briefing remains; the twice-daily schedule self-heals</w:t>
            </w:r>
          </w:p>
        </w:tc>
      </w:tr>
      <w:tr>
        <w:tc>
          <w:tcPr>
            <w:tcW w:type="dxa" w:w="23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The writing engine misfires</w:t>
            </w:r>
          </w:p>
        </w:tc>
        <w:tc>
          <w:tcPr>
            <w:tcW w:type="dxa" w:w="11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Rare</w:t>
            </w:r>
          </w:p>
        </w:tc>
        <w:tc>
          <w:tcPr>
            <w:tcW w:type="dxa" w:w="23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Every briefing passes seventeen automated safeguards before publishing</w:t>
            </w:r>
          </w:p>
        </w:tc>
        <w:tc>
          <w:tcPr>
            <w:tcW w:type="dxa" w:w="23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A failed briefing is replaced by the pre-approved plain template — never an error page</w:t>
            </w:r>
          </w:p>
        </w:tc>
        <w:tc>
          <w:tcPr>
            <w:tcW w:type="dxa" w:w="21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Template briefing until the next clean run; any engine change re-passes the quality audit</w:t>
            </w:r>
          </w:p>
        </w:tc>
      </w:tr>
      <w:tr>
        <w:tc>
          <w:tcPr>
            <w:tcW w:type="dxa" w:w="23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A scheduled update doesn't fire</w:t>
            </w:r>
          </w:p>
        </w:tc>
        <w:tc>
          <w:tcPr>
            <w:tcW w:type="dxa" w:w="11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Occasional</w:t>
            </w:r>
          </w:p>
        </w:tc>
        <w:tc>
          <w:tcPr>
            <w:tcW w:type="dxa" w:w="23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Two independent schedulers plus a dead-man's-switch monitor</w:t>
            </w:r>
          </w:p>
        </w:tc>
        <w:tc>
          <w:tcPr>
            <w:tcW w:type="dxa" w:w="23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The backup scheduler fires; if both miss, the operator runs it manually</w:t>
            </w:r>
          </w:p>
        </w:tc>
        <w:tc>
          <w:tcPr>
            <w:tcW w:type="dxa" w:w="21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The evening run covers a missed morning; the page always shows the last good briefing</w:t>
            </w:r>
          </w:p>
        </w:tc>
      </w:tr>
      <w:tr>
        <w:tc>
          <w:tcPr>
            <w:tcW w:type="dxa" w:w="23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A vendor changes terms or shuts down (incl. the gold vendor)</w:t>
            </w:r>
          </w:p>
        </w:tc>
        <w:tc>
          <w:tcPr>
            <w:tcW w:type="dxa" w:w="11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Occasional — twice in 2026</w:t>
            </w:r>
          </w:p>
        </w:tc>
        <w:tc>
          <w:tcPr>
            <w:tcW w:type="dxa" w:w="23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Quarterly source review; every row displays its own data date</w:t>
            </w:r>
          </w:p>
        </w:tc>
        <w:tc>
          <w:tcPr>
            <w:tcW w:type="dxa" w:w="23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Replace or retire the affected row through change control</w:t>
            </w:r>
          </w:p>
        </w:tc>
        <w:tc>
          <w:tcPr>
            <w:tcW w:type="dxa" w:w="21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The row shows a dash instead of a wrong or stale number</w:t>
            </w:r>
          </w:p>
        </w:tc>
      </w:tr>
      <w:tr>
        <w:tc>
          <w:tcPr>
            <w:tcW w:type="dxa" w:w="23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The page shows an outdated copy</w:t>
            </w:r>
          </w:p>
        </w:tc>
        <w:tc>
          <w:tcPr>
            <w:tcW w:type="dxa" w:w="11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Rare (root-caused and fixed July 2026)</w:t>
            </w:r>
          </w:p>
        </w:tc>
        <w:tc>
          <w:tcPr>
            <w:tcW w:type="dxa" w:w="23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The app now refreshes its own cached copy on every visit</w:t>
            </w:r>
          </w:p>
        </w:tc>
        <w:tc>
          <w:tcPr>
            <w:tcW w:type="dxa" w:w="23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None needed — self-healing</w:t>
            </w:r>
          </w:p>
        </w:tc>
        <w:tc>
          <w:tcPr>
            <w:tcW w:type="dxa" w:w="21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The next visit is current</w:t>
            </w:r>
          </w:p>
        </w:tc>
      </w:tr>
    </w:tbl>
    <w:p>
      <w:pPr>
        <w:spacing w:after="60" w:before="260"/>
      </w:pPr>
      <w:r>
        <w:rPr>
          <w:rFonts w:ascii="Helvetica Neue" w:cs="Helvetica Neue" w:eastAsia="Helvetica Neue" w:hAnsi="Helvetica Neue"/>
          <w:b/>
          <w:bCs/>
          <w:color w:val="2E7D5B"/>
          <w:spacing w:val="24"/>
          <w:sz w:val="17"/>
          <w:szCs w:val="17"/>
        </w:rPr>
        <w:t xml:space="preserve">DECISION RIGHTS</w:t>
      </w:r>
    </w:p>
    <w:p>
      <w:pPr>
        <w:spacing w:after="90" w:line="250"/>
      </w:pPr>
      <w:r>
        <w:rPr>
          <w:rFonts w:ascii="Helvetica Neue" w:cs="Helvetica Neue" w:eastAsia="Helvetica Neue" w:hAnsi="Helvetica Neue"/>
          <w:color w:val="1A211D"/>
          <w:sz w:val="19"/>
          <w:szCs w:val="19"/>
        </w:rPr>
        <w:t xml:space="preserve">The CEO holds sign-off over everything that touches trust: the product's voice, the measures it reports, the rules behind its judgment, and the compliance boundaries. The operator (Modeo) builds and runs the system and may change anything else without escalation. Eleven CEO decisions are on file to date, each captured in writing in the permanent audit trail (June 15 – July 17, 2026). Awaiting signature: this charter revision; the July 17 IWM/BUZZ proxy report; the V2.3 writing upgrade (voice); the Phase 2 compliance record.</w:t>
      </w:r>
    </w:p>
    <w:p>
      <w:pPr>
        <w:spacing w:after="60" w:before="260"/>
      </w:pPr>
      <w:r>
        <w:rPr>
          <w:rFonts w:ascii="Helvetica Neue" w:cs="Helvetica Neue" w:eastAsia="Helvetica Neue" w:hAnsi="Helvetica Neue"/>
          <w:b/>
          <w:bCs/>
          <w:color w:val="2E7D5B"/>
          <w:spacing w:val="24"/>
          <w:sz w:val="17"/>
          <w:szCs w:val="17"/>
        </w:rPr>
        <w:t xml:space="preserve">ROADMAP — PHASES, MILESTONES, DELIVERABLES</w:t>
      </w:r>
    </w:p>
    <w:p>
      <w:pPr>
        <w:spacing w:after="80" w:line="250"/>
      </w:pPr>
      <w:r>
        <w:rPr>
          <w:rFonts w:ascii="Helvetica Neue" w:cs="Helvetica Neue" w:eastAsia="Helvetica Neue" w:hAnsi="Helvetica Neue"/>
          <w:b/>
          <w:bCs/>
          <w:color w:val="1A211D"/>
          <w:sz w:val="19"/>
          <w:szCs w:val="19"/>
        </w:rPr>
        <w:t xml:space="preserve">Prototyping is complete: </w:t>
      </w:r>
      <w:r>
        <w:rPr>
          <w:rFonts w:ascii="Helvetica Neue" w:cs="Helvetica Neue" w:eastAsia="Helvetica Neue" w:hAnsi="Helvetica Neue"/>
          <w:color w:val="1A211D"/>
          <w:sz w:val="19"/>
          <w:szCs w:val="19"/>
        </w:rPr>
        <w:t xml:space="preserve">the system launched June 18, 2026 and has published reliably twice daily since. The phases below govern the work from here.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50"/>
        <w:gridCol w:w="1300"/>
        <w:gridCol w:w="2900"/>
        <w:gridCol w:w="2600"/>
        <w:gridCol w:w="1910"/>
      </w:tblGrid>
      <w:tr>
        <w:tc>
          <w:tcPr>
            <w:tcW w:type="dxa" w:w="1650"/>
            <w:tcBorders>
              <w:top w:val="single" w:color="C9CFC9" w:sz="4"/>
              <w:left w:val="none" w:color="FFFFFF" w:sz="0"/>
              <w:bottom w:val="single" w:color="C9CFC9" w:sz="4"/>
              <w:right w:val="none" w:color="FFFFFF" w:sz="0"/>
            </w:tcBorders>
            <w:shd w:fill="EDF1ED" w:val="clear"/>
            <w:tcMar>
              <w:top w:type="dxa" w:w="45"/>
              <w:left w:type="dxa" w:w="80"/>
              <w:bottom w:type="dxa" w:w="45"/>
              <w:right w:type="dxa" w:w="80"/>
            </w:tcMar>
          </w:tcPr>
          <w:p>
            <w:pPr>
              <w:spacing w:after="0" w:line="228"/>
            </w:pPr>
            <w:r>
              <w:rPr>
                <w:rFonts w:ascii="Helvetica Neue" w:cs="Helvetica Neue" w:eastAsia="Helvetica Neue" w:hAnsi="Helvetica Neue"/>
                <w:b/>
                <w:bCs/>
                <w:color w:val="5A6660"/>
                <w:sz w:val="14"/>
                <w:szCs w:val="14"/>
              </w:rPr>
              <w:t xml:space="preserve">Phase</w:t>
            </w:r>
          </w:p>
        </w:tc>
        <w:tc>
          <w:tcPr>
            <w:tcW w:type="dxa" w:w="1300"/>
            <w:tcBorders>
              <w:top w:val="single" w:color="C9CFC9" w:sz="4"/>
              <w:left w:val="none" w:color="FFFFFF" w:sz="0"/>
              <w:bottom w:val="single" w:color="C9CFC9" w:sz="4"/>
              <w:right w:val="none" w:color="FFFFFF" w:sz="0"/>
            </w:tcBorders>
            <w:shd w:fill="EDF1ED" w:val="clear"/>
            <w:tcMar>
              <w:top w:type="dxa" w:w="45"/>
              <w:left w:type="dxa" w:w="80"/>
              <w:bottom w:type="dxa" w:w="45"/>
              <w:right w:type="dxa" w:w="80"/>
            </w:tcMar>
          </w:tcPr>
          <w:p>
            <w:pPr>
              <w:spacing w:after="0" w:line="228"/>
            </w:pPr>
            <w:r>
              <w:rPr>
                <w:rFonts w:ascii="Helvetica Neue" w:cs="Helvetica Neue" w:eastAsia="Helvetica Neue" w:hAnsi="Helvetica Neue"/>
                <w:b/>
                <w:bCs/>
                <w:color w:val="5A6660"/>
                <w:sz w:val="14"/>
                <w:szCs w:val="14"/>
              </w:rPr>
              <w:t xml:space="preserve">Window</w:t>
            </w:r>
          </w:p>
        </w:tc>
        <w:tc>
          <w:tcPr>
            <w:tcW w:type="dxa" w:w="2900"/>
            <w:tcBorders>
              <w:top w:val="single" w:color="C9CFC9" w:sz="4"/>
              <w:left w:val="none" w:color="FFFFFF" w:sz="0"/>
              <w:bottom w:val="single" w:color="C9CFC9" w:sz="4"/>
              <w:right w:val="none" w:color="FFFFFF" w:sz="0"/>
            </w:tcBorders>
            <w:shd w:fill="EDF1ED" w:val="clear"/>
            <w:tcMar>
              <w:top w:type="dxa" w:w="45"/>
              <w:left w:type="dxa" w:w="80"/>
              <w:bottom w:type="dxa" w:w="45"/>
              <w:right w:type="dxa" w:w="80"/>
            </w:tcMar>
          </w:tcPr>
          <w:p>
            <w:pPr>
              <w:spacing w:after="0" w:line="228"/>
            </w:pPr>
            <w:r>
              <w:rPr>
                <w:rFonts w:ascii="Helvetica Neue" w:cs="Helvetica Neue" w:eastAsia="Helvetica Neue" w:hAnsi="Helvetica Neue"/>
                <w:b/>
                <w:bCs/>
                <w:color w:val="5A6660"/>
                <w:sz w:val="14"/>
                <w:szCs w:val="14"/>
              </w:rPr>
              <w:t xml:space="preserve">Activities</w:t>
            </w:r>
          </w:p>
        </w:tc>
        <w:tc>
          <w:tcPr>
            <w:tcW w:type="dxa" w:w="2600"/>
            <w:tcBorders>
              <w:top w:val="single" w:color="C9CFC9" w:sz="4"/>
              <w:left w:val="none" w:color="FFFFFF" w:sz="0"/>
              <w:bottom w:val="single" w:color="C9CFC9" w:sz="4"/>
              <w:right w:val="none" w:color="FFFFFF" w:sz="0"/>
            </w:tcBorders>
            <w:shd w:fill="EDF1ED" w:val="clear"/>
            <w:tcMar>
              <w:top w:type="dxa" w:w="45"/>
              <w:left w:type="dxa" w:w="80"/>
              <w:bottom w:type="dxa" w:w="45"/>
              <w:right w:type="dxa" w:w="80"/>
            </w:tcMar>
          </w:tcPr>
          <w:p>
            <w:pPr>
              <w:spacing w:after="0" w:line="228"/>
            </w:pPr>
            <w:r>
              <w:rPr>
                <w:rFonts w:ascii="Helvetica Neue" w:cs="Helvetica Neue" w:eastAsia="Helvetica Neue" w:hAnsi="Helvetica Neue"/>
                <w:b/>
                <w:bCs/>
                <w:color w:val="5A6660"/>
                <w:sz w:val="14"/>
                <w:szCs w:val="14"/>
              </w:rPr>
              <w:t xml:space="preserve">Deliverables</w:t>
            </w:r>
          </w:p>
        </w:tc>
        <w:tc>
          <w:tcPr>
            <w:tcW w:type="dxa" w:w="1910"/>
            <w:tcBorders>
              <w:top w:val="single" w:color="C9CFC9" w:sz="4"/>
              <w:left w:val="none" w:color="FFFFFF" w:sz="0"/>
              <w:bottom w:val="single" w:color="C9CFC9" w:sz="4"/>
              <w:right w:val="none" w:color="FFFFFF" w:sz="0"/>
            </w:tcBorders>
            <w:shd w:fill="EDF1ED" w:val="clear"/>
            <w:tcMar>
              <w:top w:type="dxa" w:w="45"/>
              <w:left w:type="dxa" w:w="80"/>
              <w:bottom w:type="dxa" w:w="45"/>
              <w:right w:type="dxa" w:w="80"/>
            </w:tcMar>
          </w:tcPr>
          <w:p>
            <w:pPr>
              <w:spacing w:after="0" w:line="228"/>
            </w:pPr>
            <w:r>
              <w:rPr>
                <w:rFonts w:ascii="Helvetica Neue" w:cs="Helvetica Neue" w:eastAsia="Helvetica Neue" w:hAnsi="Helvetica Neue"/>
                <w:b/>
                <w:bCs/>
                <w:color w:val="5A6660"/>
                <w:sz w:val="14"/>
                <w:szCs w:val="14"/>
              </w:rPr>
              <w:t xml:space="preserve">Milestone</w:t>
            </w:r>
          </w:p>
        </w:tc>
      </w:tr>
      <w:tr>
        <w:tc>
          <w:tcPr>
            <w:tcW w:type="dxa" w:w="16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1 · Scope amendment</w:t>
            </w:r>
          </w:p>
        </w:tc>
        <w:tc>
          <w:tcPr>
            <w:tcW w:type="dxa" w:w="13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Jul 20 – Jul 24</w:t>
            </w:r>
          </w:p>
        </w:tc>
        <w:tc>
          <w:tcPr>
            <w:tcW w:type="dxa" w:w="29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Remove retail sales &amp; industrial production; add VIX; replace WTI with Brent; full verification pass</w:t>
            </w:r>
          </w:p>
        </w:tc>
        <w:tc>
          <w:tcPr>
            <w:tcW w:type="dxa" w:w="26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Updated dashboard &amp; data registry; passing quality audit</w:t>
            </w:r>
          </w:p>
        </w:tc>
        <w:tc>
          <w:tcPr>
            <w:tcW w:type="dxa" w:w="191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M1 — Amended scope live (Jul 24)</w:t>
            </w:r>
          </w:p>
        </w:tc>
      </w:tr>
      <w:tr>
        <w:tc>
          <w:tcPr>
            <w:tcW w:type="dxa" w:w="16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2 · Source &amp; compliance decision</w:t>
            </w:r>
          </w:p>
        </w:tc>
        <w:tc>
          <w:tcPr>
            <w:tcW w:type="dxa" w:w="13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Jul 27 – Aug 7</w:t>
            </w:r>
          </w:p>
        </w:tc>
        <w:tc>
          <w:tcPr>
            <w:tcW w:type="dxa" w:w="29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Gold row source adopted (gold-api.com, vendor caveat documented); IWM/BUZZ resolved per the signed proxy report; compliance record for CEO signature</w:t>
            </w:r>
          </w:p>
        </w:tc>
        <w:tc>
          <w:tcPr>
            <w:tcW w:type="dxa" w:w="26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Signed proxy report (delivered Jul 17, a week early); compliance record</w:t>
            </w:r>
          </w:p>
        </w:tc>
        <w:tc>
          <w:tcPr>
            <w:tcW w:type="dxa" w:w="191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M2 — Source &amp; boundary signed (Aug 7)</w:t>
            </w:r>
          </w:p>
        </w:tc>
      </w:tr>
      <w:tr>
        <w:tc>
          <w:tcPr>
            <w:tcW w:type="dxa" w:w="16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3 · Market expansion build</w:t>
            </w:r>
          </w:p>
        </w:tc>
        <w:tc>
          <w:tcPr>
            <w:tcW w:type="dxa" w:w="13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Aug 10 – Aug 21</w:t>
            </w:r>
          </w:p>
        </w:tc>
        <w:tc>
          <w:tcPr>
            <w:tcW w:type="dxa" w:w="29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Build the gold row (and the optional news-sentiment row if approved); charts, verification pass</w:t>
            </w:r>
          </w:p>
        </w:tc>
        <w:tc>
          <w:tcPr>
            <w:tcW w:type="dxa" w:w="26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New rows live on the dashboard</w:t>
            </w:r>
          </w:p>
        </w:tc>
        <w:tc>
          <w:tcPr>
            <w:tcW w:type="dxa" w:w="191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M3 — Expanded market strip live (Aug 21)</w:t>
            </w:r>
          </w:p>
        </w:tc>
      </w:tr>
      <w:tr>
        <w:tc>
          <w:tcPr>
            <w:tcW w:type="dxa" w:w="165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4 · Steady-state operations</w:t>
            </w:r>
          </w:p>
        </w:tc>
        <w:tc>
          <w:tcPr>
            <w:tcW w:type="dxa" w:w="13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Ongoing</w:t>
            </w:r>
          </w:p>
        </w:tc>
        <w:tc>
          <w:tcPr>
            <w:tcW w:type="dxa" w:w="29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Twice-daily publishing; monitoring; quarterly source review (next: Oct 2026); annual calendar refresh</w:t>
            </w:r>
          </w:p>
        </w:tc>
        <w:tc>
          <w:tcPr>
            <w:tcW w:type="dxa" w:w="26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Uninterrupted daily briefings; quarterly review note</w:t>
            </w:r>
          </w:p>
        </w:tc>
        <w:tc>
          <w:tcPr>
            <w:tcW w:type="dxa" w:w="191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5"/>
                <w:szCs w:val="15"/>
              </w:rPr>
              <w:t xml:space="preserve">Continuous</w:t>
            </w:r>
          </w:p>
        </w:tc>
      </w:tr>
    </w:tbl>
    <w:p>
      <w:pPr>
        <w:spacing w:after="60" w:before="260"/>
      </w:pPr>
      <w:r>
        <w:rPr>
          <w:rFonts w:ascii="Helvetica Neue" w:cs="Helvetica Neue" w:eastAsia="Helvetica Neue" w:hAnsi="Helvetica Neue"/>
          <w:b/>
          <w:bCs/>
          <w:color w:val="2E7D5B"/>
          <w:spacing w:val="24"/>
          <w:sz w:val="17"/>
          <w:szCs w:val="17"/>
        </w:rPr>
        <w:t xml:space="preserve">APPROVAL</w:t>
      </w:r>
    </w:p>
    <w:tbl>
      <w:tblPr>
        <w:tblW w:type="dxa" w:w="1037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3370"/>
      </w:tblGrid>
      <w:tr>
        <w:tc>
          <w:tcPr>
            <w:tcW w:type="dxa" w:w="50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6"/>
                <w:szCs w:val="16"/>
              </w:rPr>
              <w:t xml:space="preserve">X — Bruce Yazdani, Chief Executive Officer, Bruce Yazdani, LLC</w:t>
            </w:r>
          </w:p>
        </w:tc>
        <w:tc>
          <w:tcPr>
            <w:tcW w:type="dxa" w:w="20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5A6660"/>
                <w:sz w:val="16"/>
                <w:szCs w:val="16"/>
              </w:rPr>
              <w:t xml:space="preserve">Date</w:t>
            </w:r>
          </w:p>
        </w:tc>
        <w:tc>
          <w:tcPr>
            <w:tcW w:type="dxa" w:w="337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6"/>
                <w:szCs w:val="16"/>
              </w:rPr>
              <w:t xml:space="preserve"/>
            </w:r>
          </w:p>
        </w:tc>
      </w:tr>
      <w:tr>
        <w:tc>
          <w:tcPr>
            <w:tcW w:type="dxa" w:w="50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6"/>
                <w:szCs w:val="16"/>
              </w:rPr>
              <w:t xml:space="preserve">X — Arash Yazdani, Operator, Modeo</w:t>
            </w:r>
          </w:p>
        </w:tc>
        <w:tc>
          <w:tcPr>
            <w:tcW w:type="dxa" w:w="200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5A6660"/>
                <w:sz w:val="16"/>
                <w:szCs w:val="16"/>
              </w:rPr>
              <w:t xml:space="preserve">Date</w:t>
            </w:r>
          </w:p>
        </w:tc>
        <w:tc>
          <w:tcPr>
            <w:tcW w:type="dxa" w:w="3370"/>
            <w:tcBorders>
              <w:top w:val="single" w:color="C9CFC9" w:sz="4"/>
              <w:left w:val="none" w:color="FFFFFF" w:sz="0"/>
              <w:bottom w:val="single" w:color="C9CFC9" w:sz="4"/>
              <w:right w:val="none" w:color="FFFFFF" w:sz="0"/>
            </w:tcBorders>
            <w:tcMar>
              <w:top w:type="dxa" w:w="45"/>
              <w:left w:type="dxa" w:w="80"/>
              <w:bottom w:type="dxa" w:w="45"/>
              <w:right w:type="dxa" w:w="80"/>
            </w:tcMar>
          </w:tcPr>
          <w:p>
            <w:pPr>
              <w:spacing w:after="0" w:line="228"/>
            </w:pPr>
            <w:r>
              <w:rPr>
                <w:rFonts w:ascii="Helvetica Neue" w:cs="Helvetica Neue" w:eastAsia="Helvetica Neue" w:hAnsi="Helvetica Neue"/>
                <w:b w:val="false"/>
                <w:bCs w:val="false"/>
                <w:color w:val="1A211D"/>
                <w:sz w:val="16"/>
                <w:szCs w:val="16"/>
              </w:rPr>
              <w:t xml:space="preserve"/>
            </w:r>
          </w:p>
        </w:tc>
      </w:tr>
    </w:tbl>
    <w:sectPr>
      <w:pgSz w:w="12240" w:h="15840" w:orient="portrait"/>
      <w:pgMar w:top="880" w:right="1100" w:bottom="8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1A211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999fdc4a8efc86804f0ffdc2e18e6235cdbc3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2026-07-17T23:34:22.854Z</dcterms:created>
  <dcterms:modified xsi:type="dcterms:W3CDTF">2026-07-17T23:34:22.855Z</dcterms:modified>
</cp:coreProperties>
</file>

<file path=docProps/custom.xml><?xml version="1.0" encoding="utf-8"?>
<Properties xmlns="http://schemas.openxmlformats.org/officeDocument/2006/custom-properties" xmlns:vt="http://schemas.openxmlformats.org/officeDocument/2006/docPropsVTypes"/>
</file>