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0"/>
        <w:ind w:start="720"/>
        <w:jc w:val="center"/>
        <w:rPr>
          <w:rFonts w:ascii="Times New Roman" w:hAnsi="Times New Roman" w:cs="Times New Roman"/>
          <w:b/>
          <w:sz w:val="24"/>
          <w:szCs w:val="24"/>
          <w:lang w:val="en-US"/>
        </w:rPr>
      </w:pPr>
      <w:r>
        <w:rPr>
          <w:rFonts w:cs="Times New Roman" w:ascii="Times New Roman" w:hAnsi="Times New Roman"/>
          <w:b/>
          <w:bCs/>
          <w:sz w:val="24"/>
          <w:szCs w:val="24"/>
          <w:lang w:val="en-US"/>
        </w:rPr>
        <w:t>Enhancing Coumarin Therapeutics in Oncology: Machine Learning-Guided Dose-Time Optimization and Experimental Validation</w:t>
      </w:r>
    </w:p>
    <w:p>
      <w:pPr>
        <w:pStyle w:val="Normal"/>
        <w:spacing w:before="24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before="240" w:after="0"/>
        <w:jc w:val="center"/>
        <w:rPr>
          <w:rFonts w:ascii="Times New Roman" w:hAnsi="Times New Roman" w:cs="Times New Roman"/>
          <w:color w:val="FFC000"/>
          <w:vertAlign w:val="superscript"/>
        </w:rPr>
      </w:pPr>
      <w:r>
        <w:rPr>
          <w:rFonts w:cs="Times New Roman" w:ascii="Times New Roman" w:hAnsi="Times New Roman"/>
          <w:color w:val="FFC000"/>
        </w:rPr>
        <w:t>Mohammad Sadra Moazzen</w:t>
      </w:r>
      <w:r>
        <w:rPr>
          <w:rFonts w:cs="Times New Roman" w:ascii="Times New Roman" w:hAnsi="Times New Roman"/>
          <w:color w:val="FFC000"/>
          <w:vertAlign w:val="superscript"/>
        </w:rPr>
        <w:t>1,2</w:t>
      </w:r>
      <w:r>
        <w:rPr>
          <w:rFonts w:cs="Times New Roman" w:ascii="Times New Roman" w:hAnsi="Times New Roman"/>
          <w:color w:val="FFC000"/>
        </w:rPr>
        <w:t>, Jalal A. Nasiri</w:t>
      </w:r>
      <w:r>
        <w:rPr>
          <w:rFonts w:cs="Times New Roman" w:ascii="Times New Roman" w:hAnsi="Times New Roman"/>
          <w:color w:val="FFC000"/>
          <w:vertAlign w:val="superscript"/>
        </w:rPr>
        <w:t>3</w:t>
      </w:r>
      <w:r>
        <w:rPr>
          <w:rFonts w:cs="Times New Roman" w:ascii="Times New Roman" w:hAnsi="Times New Roman"/>
          <w:color w:val="FFC000"/>
        </w:rPr>
        <w:t>, Mehrdad Iranshahi</w:t>
      </w:r>
      <w:r>
        <w:rPr>
          <w:rFonts w:cs="Times New Roman" w:ascii="Times New Roman" w:hAnsi="Times New Roman"/>
          <w:color w:val="FFC000"/>
          <w:vertAlign w:val="superscript"/>
        </w:rPr>
        <w:t>4</w:t>
      </w:r>
      <w:r>
        <w:rPr>
          <w:rFonts w:cs="Times New Roman" w:ascii="Times New Roman" w:hAnsi="Times New Roman"/>
          <w:color w:val="FFC000"/>
        </w:rPr>
        <w:t>, Fatemeh B. Rassouli</w:t>
      </w:r>
      <w:r>
        <w:rPr>
          <w:rFonts w:cs="Times New Roman" w:ascii="Times New Roman" w:hAnsi="Times New Roman"/>
          <w:color w:val="FFC000"/>
          <w:vertAlign w:val="superscript"/>
        </w:rPr>
        <w:t>1,2*</w:t>
      </w:r>
    </w:p>
    <w:p>
      <w:pPr>
        <w:pStyle w:val="Normal"/>
        <w:spacing w:before="240" w:after="0"/>
        <w:jc w:val="center"/>
        <w:rPr>
          <w:rFonts w:ascii="Times New Roman" w:hAnsi="Times New Roman" w:cs="Times New Roman"/>
        </w:rPr>
      </w:pPr>
      <w:r>
        <w:rPr>
          <w:rFonts w:cs="Times New Roman" w:ascii="Times New Roman" w:hAnsi="Times New Roman"/>
        </w:rPr>
      </w:r>
    </w:p>
    <w:p>
      <w:pPr>
        <w:pStyle w:val="Normal"/>
        <w:spacing w:before="240" w:after="0"/>
        <w:rPr>
          <w:rFonts w:ascii="Times New Roman" w:hAnsi="Times New Roman" w:cs="Times New Roman"/>
          <w:sz w:val="20"/>
          <w:szCs w:val="20"/>
          <w:vertAlign w:val="superscript"/>
        </w:rPr>
      </w:pPr>
      <w:r>
        <w:rPr>
          <w:rFonts w:cs="Times New Roman" w:ascii="Times New Roman" w:hAnsi="Times New Roman"/>
        </w:rPr>
        <w:t xml:space="preserve"> </w:t>
      </w:r>
      <w:r>
        <w:rPr>
          <w:rFonts w:cs="Times New Roman" w:ascii="Times New Roman" w:hAnsi="Times New Roman"/>
          <w:sz w:val="20"/>
          <w:szCs w:val="20"/>
          <w:vertAlign w:val="superscript"/>
        </w:rPr>
        <w:t xml:space="preserve">1 </w:t>
      </w:r>
      <w:r>
        <w:rPr>
          <w:rFonts w:cs="Times New Roman" w:ascii="Times New Roman" w:hAnsi="Times New Roman"/>
          <w:sz w:val="20"/>
          <w:szCs w:val="20"/>
        </w:rPr>
        <w:t>Department of Biology, Faculty of Science, Ferdowsi University of Mashhad, Mashhad, Iran.</w:t>
      </w:r>
    </w:p>
    <w:p>
      <w:pPr>
        <w:pStyle w:val="Normal"/>
        <w:spacing w:before="240" w:after="0"/>
        <w:jc w:val="both"/>
        <w:rPr>
          <w:rFonts w:ascii="Times New Roman" w:hAnsi="Times New Roman" w:cs="Times New Roman"/>
          <w:sz w:val="20"/>
          <w:szCs w:val="20"/>
        </w:rPr>
      </w:pPr>
      <w:r>
        <w:rPr>
          <w:rFonts w:cs="Times New Roman" w:ascii="Times New Roman" w:hAnsi="Times New Roman"/>
          <w:sz w:val="20"/>
          <w:szCs w:val="20"/>
          <w:vertAlign w:val="superscript"/>
        </w:rPr>
        <w:t xml:space="preserve">2 </w:t>
      </w:r>
      <w:r>
        <w:rPr>
          <w:rFonts w:cs="Times New Roman" w:ascii="Times New Roman" w:hAnsi="Times New Roman"/>
          <w:sz w:val="20"/>
          <w:szCs w:val="20"/>
        </w:rPr>
        <w:t>Novel Diagnostics and Therapeutics Research Group, Institute of Biotechnology, Ferdowsi University of Mashhad, Mashhad, Iran.</w:t>
      </w:r>
    </w:p>
    <w:p>
      <w:pPr>
        <w:pStyle w:val="Normal"/>
        <w:spacing w:before="240" w:after="0"/>
        <w:jc w:val="both"/>
        <w:rPr>
          <w:rFonts w:ascii="Times New Roman" w:hAnsi="Times New Roman" w:eastAsia="Cambria" w:cs="Times New Roman"/>
          <w:sz w:val="20"/>
          <w:szCs w:val="20"/>
        </w:rPr>
      </w:pPr>
      <w:r>
        <w:rPr>
          <w:rFonts w:cs="Times New Roman" w:ascii="Times New Roman" w:hAnsi="Times New Roman"/>
          <w:sz w:val="20"/>
          <w:szCs w:val="20"/>
          <w:vertAlign w:val="superscript"/>
        </w:rPr>
        <w:t>3</w:t>
      </w:r>
      <w:r>
        <w:rPr>
          <w:rFonts w:cs="Times New Roman" w:ascii="Times New Roman" w:hAnsi="Times New Roman"/>
          <w:sz w:val="20"/>
          <w:szCs w:val="20"/>
        </w:rPr>
        <w:t xml:space="preserve"> </w:t>
      </w:r>
      <w:r>
        <w:rPr>
          <w:rFonts w:eastAsia="Cambria" w:cs="Times New Roman" w:ascii="Times New Roman" w:hAnsi="Times New Roman"/>
          <w:sz w:val="20"/>
          <w:szCs w:val="20"/>
        </w:rPr>
        <w:t>Department of Applied Mathematics, Faculty of Mathematical Sciences, Ferdowsi University of Mashhad, Mashhad, Iran.</w:t>
      </w:r>
    </w:p>
    <w:p>
      <w:pPr>
        <w:pStyle w:val="Normal"/>
        <w:spacing w:before="240" w:after="0"/>
        <w:jc w:val="both"/>
        <w:rPr>
          <w:rFonts w:ascii="Times New Roman" w:hAnsi="Times New Roman" w:eastAsia="Cambria" w:cs="Times New Roman"/>
          <w:sz w:val="20"/>
          <w:szCs w:val="20"/>
        </w:rPr>
      </w:pPr>
      <w:r>
        <w:rPr>
          <w:rFonts w:eastAsia="Cambria" w:cs="Times New Roman" w:ascii="Times New Roman" w:hAnsi="Times New Roman"/>
          <w:sz w:val="20"/>
          <w:szCs w:val="20"/>
          <w:vertAlign w:val="superscript"/>
        </w:rPr>
        <w:t>4</w:t>
      </w:r>
      <w:r>
        <w:rPr>
          <w:rFonts w:eastAsia="Cambria" w:cs="Times New Roman" w:ascii="Times New Roman" w:hAnsi="Times New Roman"/>
          <w:sz w:val="20"/>
          <w:szCs w:val="20"/>
        </w:rPr>
        <w:t xml:space="preserve"> Biotechnology Research Center, Pharmaceutical Technology Institute, Mashhad University of Medical Sciences, Mashhad, Iran.</w:t>
      </w:r>
    </w:p>
    <w:p>
      <w:pPr>
        <w:pStyle w:val="Normal"/>
        <w:spacing w:before="240" w:after="0"/>
        <w:rPr>
          <w:rFonts w:ascii="Times New Roman" w:hAnsi="Times New Roman" w:cs="Times New Roman"/>
        </w:rPr>
      </w:pPr>
      <w:r>
        <w:rPr>
          <w:rFonts w:cs="Times New Roman" w:ascii="Times New Roman" w:hAnsi="Times New Roman"/>
        </w:rPr>
        <w:t xml:space="preserve"> </w:t>
      </w:r>
    </w:p>
    <w:p>
      <w:pPr>
        <w:pStyle w:val="Normal"/>
        <w:spacing w:before="240" w:after="0"/>
        <w:rPr>
          <w:rFonts w:ascii="Times New Roman" w:hAnsi="Times New Roman" w:cs="Times New Roman"/>
          <w:sz w:val="20"/>
          <w:szCs w:val="20"/>
        </w:rPr>
      </w:pPr>
      <w:r>
        <w:rPr>
          <w:rFonts w:cs="Times New Roman" w:ascii="Times New Roman" w:hAnsi="Times New Roman"/>
          <w:sz w:val="20"/>
          <w:szCs w:val="20"/>
        </w:rPr>
        <w:t>* Corresponding author: Prof. F. B. Rassouli, Phone: +98 5138805504, Fax: +98 5138796416, P.O. Box: 9177948974, email: behnam3260@um.ac.ir</w:t>
      </w:r>
    </w:p>
    <w:p>
      <w:pPr>
        <w:pStyle w:val="Normal"/>
        <w:spacing w:before="240" w:after="0"/>
        <w:rPr>
          <w:rFonts w:ascii="Times New Roman" w:hAnsi="Times New Roman" w:cs="Times New Roman"/>
        </w:rPr>
      </w:pPr>
      <w:r>
        <w:rPr>
          <w:rFonts w:cs="Times New Roman" w:ascii="Times New Roman" w:hAnsi="Times New Roman"/>
        </w:rPr>
      </w:r>
      <w:r>
        <w:br w:type="page"/>
      </w:r>
    </w:p>
    <w:p>
      <w:pPr>
        <w:pStyle w:val="Normal"/>
        <w:spacing w:before="0" w:after="0"/>
        <w:rPr>
          <w:rFonts w:ascii="Times New Roman" w:hAnsi="Times New Roman" w:cs="Times New Roman"/>
          <w:b/>
        </w:rPr>
      </w:pPr>
      <w:r>
        <w:rPr>
          <w:rFonts w:cs="Times New Roman" w:ascii="Times New Roman" w:hAnsi="Times New Roman"/>
          <w:b/>
        </w:rPr>
        <w:t>Abstract</w:t>
      </w:r>
    </w:p>
    <w:p>
      <w:pPr>
        <w:pStyle w:val="Normal"/>
        <w:spacing w:before="240" w:after="0"/>
        <w:jc w:val="both"/>
        <w:rPr>
          <w:rFonts w:ascii="Times New Roman" w:hAnsi="Times New Roman" w:cs="Times New Roman"/>
          <w:bCs/>
        </w:rPr>
      </w:pPr>
      <w:r>
        <w:rPr>
          <w:rFonts w:cs="Times New Roman" w:ascii="Times New Roman" w:hAnsi="Times New Roman"/>
          <w:bCs/>
        </w:rPr>
        <w:t xml:space="preserve">Background: Coumarins are a group of naturally occurring compounds that have garnered significant interest for their potential anticancer properties, characterized by targeted effects and low toxicity. Despite this promise, the therapeutic application of certain coumarins is limited by insufficient data and inconsistencies in experimental results. </w:t>
      </w:r>
      <w:r>
        <w:rPr>
          <w:rFonts w:cs="Times New Roman" w:ascii="Times New Roman" w:hAnsi="Times New Roman"/>
          <w:bCs/>
          <w:shd w:fill="FFFF00" w:val="clear"/>
        </w:rPr>
        <w:t xml:space="preserve">This study aims to tackle these challenges by utilizing Gradient Boosting Regressor (GBR) model to predict optimal dose-time combinations for </w:t>
      </w:r>
      <w:r>
        <w:rPr>
          <w:rFonts w:cs="Times New Roman" w:ascii="Times New Roman" w:hAnsi="Times New Roman"/>
          <w:shd w:fill="FFFF00" w:val="clear"/>
        </w:rPr>
        <w:t>scopoletin, esculetin, galbanic acid, umbelliprenin and auraptene</w:t>
      </w:r>
      <w:r>
        <w:rPr>
          <w:rFonts w:cs="Times New Roman" w:ascii="Times New Roman" w:hAnsi="Times New Roman"/>
          <w:bCs/>
          <w:shd w:fill="FFFF00" w:val="clear"/>
        </w:rPr>
        <w:t xml:space="preserve"> that achieve IC</w:t>
      </w:r>
      <w:r>
        <w:rPr>
          <w:rFonts w:cs="Times New Roman" w:ascii="Times New Roman" w:hAnsi="Times New Roman"/>
          <w:bCs/>
          <w:shd w:fill="FFFF00" w:val="clear"/>
          <w:vertAlign w:val="subscript"/>
        </w:rPr>
        <w:t xml:space="preserve">50 </w:t>
      </w:r>
      <w:r>
        <w:rPr>
          <w:rFonts w:cs="Times New Roman" w:ascii="Times New Roman" w:hAnsi="Times New Roman"/>
          <w:bCs/>
          <w:shd w:fill="FFFF00" w:val="clear"/>
        </w:rPr>
        <w:t>across various cancer cell lines.</w:t>
      </w:r>
    </w:p>
    <w:p>
      <w:pPr>
        <w:pStyle w:val="Normal"/>
        <w:spacing w:before="240" w:after="0"/>
        <w:jc w:val="both"/>
        <w:rPr>
          <w:rFonts w:ascii="Times New Roman" w:hAnsi="Times New Roman" w:cs="Times New Roman"/>
          <w:bCs/>
          <w:color w:val="00B050"/>
        </w:rPr>
      </w:pPr>
      <w:r>
        <w:rPr>
          <w:rFonts w:cs="Times New Roman" w:ascii="Times New Roman" w:hAnsi="Times New Roman"/>
          <w:bCs/>
          <w:shd w:fill="FFFF00" w:val="clear"/>
        </w:rPr>
        <w:t xml:space="preserve">Methods:  Extensive </w:t>
      </w:r>
      <w:r>
        <w:rPr>
          <w:rFonts w:cs="Times New Roman" w:ascii="Times New Roman" w:hAnsi="Times New Roman"/>
          <w:bCs/>
          <w:i/>
          <w:iCs/>
          <w:shd w:fill="FFFF00" w:val="clear"/>
        </w:rPr>
        <w:t>in vitro</w:t>
      </w:r>
      <w:r>
        <w:rPr>
          <w:rFonts w:cs="Times New Roman" w:ascii="Times New Roman" w:hAnsi="Times New Roman"/>
          <w:bCs/>
          <w:shd w:fill="FFFF00" w:val="clear"/>
        </w:rPr>
        <w:t xml:space="preserve"> data from 78 peer-reviewed studies were synthesized based</w:t>
      </w:r>
      <w:r>
        <w:rPr>
          <w:rFonts w:cs="Times New Roman" w:ascii="Times New Roman" w:hAnsi="Times New Roman"/>
          <w:bCs/>
        </w:rPr>
        <w:t xml:space="preserve"> on inclusion criteria, focusing on dose, time, and cell viability for several coumarins. </w:t>
      </w:r>
      <w:r>
        <w:rPr>
          <w:rFonts w:cs="Times New Roman" w:ascii="Times New Roman" w:hAnsi="Times New Roman"/>
          <w:bCs/>
          <w:shd w:fill="FFFF00" w:val="clear"/>
        </w:rPr>
        <w:t>The GBR model</w:t>
      </w:r>
      <w:r>
        <w:rPr>
          <w:rFonts w:cs="Times New Roman" w:ascii="Times New Roman" w:hAnsi="Times New Roman"/>
          <w:bCs/>
        </w:rPr>
        <w:t xml:space="preserve"> was employed to analyze this dataset and elucidate dose-response relationships. To validate the machine learning predictions, </w:t>
      </w:r>
      <w:r>
        <w:rPr>
          <w:rFonts w:cs="Times New Roman" w:ascii="Times New Roman" w:hAnsi="Times New Roman"/>
          <w:bCs/>
          <w:i/>
          <w:iCs/>
        </w:rPr>
        <w:t>in vitro</w:t>
      </w:r>
      <w:r>
        <w:rPr>
          <w:rFonts w:cs="Times New Roman" w:ascii="Times New Roman" w:hAnsi="Times New Roman"/>
          <w:bCs/>
        </w:rPr>
        <w:t xml:space="preserve"> viability assay was conducted. Auraptene was extracted from </w:t>
      </w:r>
      <w:r>
        <w:rPr>
          <w:rFonts w:cs="Times New Roman" w:ascii="Times New Roman" w:hAnsi="Times New Roman"/>
          <w:bCs/>
          <w:i/>
          <w:iCs/>
        </w:rPr>
        <w:t>Ferula szowitsiana</w:t>
      </w:r>
      <w:r>
        <w:rPr>
          <w:rFonts w:cs="Times New Roman" w:ascii="Times New Roman" w:hAnsi="Times New Roman"/>
          <w:bCs/>
        </w:rPr>
        <w:t xml:space="preserve"> using thin layer chromatography, and LoVo cells (a human colon carcinoma cell line not included in the original dataset) were treated and evaluated for viability at 24, 48, and 72 h.</w:t>
      </w:r>
    </w:p>
    <w:p>
      <w:pPr>
        <w:pStyle w:val="Normal"/>
        <w:spacing w:before="240" w:after="0"/>
        <w:jc w:val="both"/>
        <w:rPr>
          <w:rFonts w:ascii="Times New Roman" w:hAnsi="Times New Roman" w:cs="Times New Roman"/>
        </w:rPr>
      </w:pPr>
      <w:r>
        <w:rPr>
          <w:rFonts w:cs="Times New Roman" w:ascii="Times New Roman" w:hAnsi="Times New Roman"/>
          <w:bCs/>
        </w:rPr>
        <w:t xml:space="preserve">Results: The data analysis demonstrated that esculetin, umbelliprenin, and auraptene consistently exhibited robust dose-response dynamics, with notable time-dependent enhancements in their anticancer activity. Galbanic acid displayed significant cytotoxicity, particularly under prolonged exposure conditions, while the therapeutic potential of scopoletin remains inconclusive due to insufficient data. </w:t>
      </w:r>
      <w:r>
        <w:rPr>
          <w:rFonts w:cs="Times New Roman" w:ascii="Times New Roman" w:hAnsi="Times New Roman"/>
        </w:rPr>
        <w:t xml:space="preserve">Interestingly, the predictions made by the </w:t>
      </w:r>
      <w:r>
        <w:rPr>
          <w:rFonts w:cs="Times New Roman" w:ascii="Times New Roman" w:hAnsi="Times New Roman"/>
          <w:shd w:fill="FFFF00" w:val="clear"/>
        </w:rPr>
        <w:t xml:space="preserve">GBR model regarding auraptene efficacy were validated through </w:t>
      </w:r>
      <w:r>
        <w:rPr>
          <w:rFonts w:cs="Times New Roman" w:ascii="Times New Roman" w:hAnsi="Times New Roman"/>
          <w:i/>
          <w:iCs/>
          <w:shd w:fill="FFFF00" w:val="clear"/>
        </w:rPr>
        <w:t>in vitro</w:t>
      </w:r>
      <w:r>
        <w:rPr>
          <w:rFonts w:cs="Times New Roman" w:ascii="Times New Roman" w:hAnsi="Times New Roman"/>
          <w:shd w:fill="FFFF00" w:val="clear"/>
        </w:rPr>
        <w:t xml:space="preserve"> experiments on LoVo cells. </w:t>
      </w:r>
    </w:p>
    <w:p>
      <w:pPr>
        <w:pStyle w:val="Normal"/>
        <w:spacing w:before="240" w:after="0"/>
        <w:jc w:val="both"/>
        <w:rPr>
          <w:rFonts w:ascii="Times New Roman" w:hAnsi="Times New Roman" w:cs="Times New Roman"/>
          <w:bCs/>
        </w:rPr>
      </w:pPr>
      <w:r>
        <w:rPr>
          <w:rFonts w:cs="Times New Roman" w:ascii="Times New Roman" w:hAnsi="Times New Roman"/>
          <w:bCs/>
          <w:lang w:val="en-US"/>
        </w:rPr>
        <w:t xml:space="preserve">Conclusion: </w:t>
      </w:r>
      <w:r>
        <w:rPr>
          <w:rFonts w:cs="Times New Roman" w:ascii="Times New Roman" w:hAnsi="Times New Roman"/>
          <w:bCs/>
        </w:rPr>
        <w:t xml:space="preserve">This research establishes a robust framework for understanding the efficacy of coumarins, highlighting their transformative potential in contemporary oncology. The experimental validation of the </w:t>
      </w:r>
      <w:r>
        <w:rPr>
          <w:rFonts w:cs="Times New Roman" w:ascii="Times New Roman" w:hAnsi="Times New Roman"/>
          <w:bCs/>
          <w:shd w:fill="FFFF00" w:val="clear"/>
        </w:rPr>
        <w:t>GBR framework</w:t>
      </w:r>
      <w:r>
        <w:rPr>
          <w:rFonts w:cs="Times New Roman" w:ascii="Times New Roman" w:hAnsi="Times New Roman"/>
          <w:bCs/>
        </w:rPr>
        <w:t xml:space="preserve"> demonstrates the applicability of machine learning tools for enhancing the precision of therapeutic optimization, reducing experimental complexity, and advancing the development of natural compound-based anticancer agents.</w:t>
      </w:r>
    </w:p>
    <w:p>
      <w:pPr>
        <w:pStyle w:val="Normal"/>
        <w:spacing w:before="240" w:after="0"/>
        <w:jc w:val="both"/>
        <w:rPr>
          <w:rFonts w:ascii="Times New Roman" w:hAnsi="Times New Roman" w:cs="Times New Roman"/>
          <w:bCs/>
        </w:rPr>
      </w:pPr>
      <w:r>
        <w:rPr>
          <w:rFonts w:cs="Times New Roman" w:ascii="Times New Roman" w:hAnsi="Times New Roman"/>
          <w:bCs/>
        </w:rPr>
      </w:r>
    </w:p>
    <w:p>
      <w:pPr>
        <w:pStyle w:val="Normal"/>
        <w:spacing w:before="240" w:after="0"/>
        <w:rPr>
          <w:rFonts w:ascii="Times New Roman" w:hAnsi="Times New Roman" w:cs="Times New Roman"/>
          <w:bCs/>
        </w:rPr>
      </w:pPr>
      <w:r>
        <w:rPr>
          <w:rFonts w:cs="Times New Roman" w:ascii="Times New Roman" w:hAnsi="Times New Roman"/>
          <w:b/>
        </w:rPr>
        <w:t xml:space="preserve">Key words: </w:t>
      </w:r>
      <w:r>
        <w:rPr>
          <w:rFonts w:cs="Times New Roman" w:ascii="Times New Roman" w:hAnsi="Times New Roman"/>
          <w:bCs/>
        </w:rPr>
        <w:t>Natural</w:t>
      </w:r>
      <w:r>
        <w:rPr>
          <w:rFonts w:cs="Times New Roman" w:ascii="Times New Roman" w:hAnsi="Times New Roman"/>
          <w:b/>
        </w:rPr>
        <w:t xml:space="preserve"> </w:t>
      </w:r>
      <w:r>
        <w:rPr>
          <w:rFonts w:cs="Times New Roman" w:ascii="Times New Roman" w:hAnsi="Times New Roman"/>
        </w:rPr>
        <w:t xml:space="preserve">coumarins, Anticancer effect, Machine learning, Validation, </w:t>
      </w:r>
      <w:r>
        <w:rPr>
          <w:rFonts w:cs="Times New Roman" w:ascii="Times New Roman" w:hAnsi="Times New Roman"/>
          <w:i/>
        </w:rPr>
        <w:t>in vitro</w:t>
      </w:r>
      <w:r>
        <w:rPr>
          <w:rFonts w:cs="Times New Roman" w:ascii="Times New Roman" w:hAnsi="Times New Roman"/>
        </w:rPr>
        <w:t xml:space="preserve"> toxicity.</w:t>
      </w:r>
    </w:p>
    <w:p>
      <w:pPr>
        <w:pStyle w:val="Normal"/>
        <w:spacing w:before="240" w:after="0"/>
        <w:rPr>
          <w:rFonts w:ascii="Times New Roman" w:hAnsi="Times New Roman" w:cs="Times New Roman"/>
          <w:b/>
          <w:sz w:val="26"/>
          <w:szCs w:val="26"/>
        </w:rPr>
      </w:pPr>
      <w:r>
        <w:rPr>
          <w:rFonts w:cs="Times New Roman" w:ascii="Times New Roman" w:hAnsi="Times New Roman"/>
          <w:b/>
          <w:sz w:val="26"/>
          <w:szCs w:val="26"/>
        </w:rPr>
      </w:r>
    </w:p>
    <w:p>
      <w:pPr>
        <w:pStyle w:val="Normal"/>
        <w:spacing w:before="240" w:after="0"/>
        <w:jc w:val="both"/>
        <w:rPr>
          <w:rFonts w:ascii="Times New Roman" w:hAnsi="Times New Roman" w:cs="Times New Roman"/>
          <w:b/>
        </w:rPr>
      </w:pPr>
      <w:r>
        <w:rPr>
          <w:rFonts w:cs="Times New Roman" w:ascii="Times New Roman" w:hAnsi="Times New Roman"/>
          <w:b/>
        </w:rPr>
        <w:t>1. Introduction</w:t>
      </w:r>
    </w:p>
    <w:p>
      <w:pPr>
        <w:pStyle w:val="Normal"/>
        <w:spacing w:before="240" w:after="0"/>
        <w:jc w:val="both"/>
        <w:rPr>
          <w:rFonts w:ascii="Times New Roman" w:hAnsi="Times New Roman" w:cs="Times New Roman"/>
          <w:lang w:val="en-US"/>
        </w:rPr>
      </w:pPr>
      <w:r>
        <w:rPr>
          <w:rFonts w:cs="Times New Roman" w:ascii="Times New Roman" w:hAnsi="Times New Roman"/>
        </w:rPr>
        <w:t xml:space="preserve">Cancer imposes an uneven burden across the globe, with affluent societies experiencing higher rates of lifestyle-related cancers, such as lung and colorectal cancer, while lower-income countries face a greater prevalence of infection-related cancers, including liver and cervical cancer. Despite significant advancements in early detection and treatment, disparities in healthcare access continue to pose a critical challenge. Currently, only 39% of countries offer adequate cancer care, with comprehensive treatment available in over 90% of industrialized nations, compared to fewer than 15% of developing countries </w:t>
      </w:r>
      <w:r>
        <w:fldChar w:fldCharType="begin"/>
      </w:r>
      <w:r>
        <w:rPr>
          <w:rFonts w:cs="Times New Roman" w:ascii="Times New Roman" w:hAnsi="Times New Roman"/>
        </w:rPr>
        <w:instrText xml:space="preserve">ADDIN ZOTERO_ITEM CSL_CITATION {"citationID":"i1v76hsN","properties":{"formattedCitation":"\\super 1\\uc0\\u8211{}4\\nosupersub{}","plainCitation":"1–4","noteIndex":0},"citationItems":[{"id":474,"uris":["http://zotero.org/users/local/eLmElWd3/items/EYRDSM6J"],"itemData":{"id":474,"type":"article-journal","container-title":"The Yale Journal of Biology and Medicine","ISSN":"1551-4056","issue":"3-4","journalAbbreviation":"Yale J Biol Med","language":"eng","note":"PMID: 17940618\nPMCID: PMC1994799","page":"85-94","source":"PubMed","title":"Global burden of cancer","volume":"79","author":[{"family":"Ma","given":"Xiaomei"},{"family":"Yu","given":"Herbert"}],"issued":{"date-parts":[["2006",12]]}},"label":"page"},{"id":476,"uris":["http://zotero.org/users/local/eLmElWd3/items/WJGPLEYP"],"itemData":{"id":476,"type":"article-journal","container-title":"Carcinogenesis","DOI":"10.1093/carcin/bgp263","ISSN":"0143-3334, 1460-2180","issue":"1","journalAbbreviation":"Carcinogenesis","language":"en","page":"100-110","source":"DOI.org (Crossref)","title":"The global burden of cancer: priorities for prevention","title-short":"The global burden of cancer","volume":"31","author":[{"family":"Thun","given":"M. J."},{"family":"DeLancey","given":"J. O."},{"family":"Center","given":"M. M."},{"family":"Jemal","given":"A."},{"family":"Ward","given":"E. M."}],"issued":{"date-parts":[["2010",1,1]]}},"label":"page"},{"id":478,"uris":["http://zotero.org/users/local/eLmElWd3/items/TS9TZY77"],"itemData":{"id":478,"type":"webpage","abstract":"The World Health Organization’s cancer agency surveyed 115 countries and found that most are not funding care services as part of universal health coverage.","container-title":"World Economic Forum","language":"en","title":"The global cancer burden is growing – here's what needs to happen","URL":"https://www.weforum.org/stories/2024/03/global-cancer-funding-shortfall/","accessed":{"date-parts":[["2024",11,29]]},"issued":{"date-parts":[["2024",3,1]]}},"label":"page"},{"id":479,"uris":["http://zotero.org/users/local/eLmElWd3/items/F8RE77SM"],"itemData":{"id":479,"type":"webpage","language":"en","title":"Cancer","URL":"https://www.who.int/health-topics/cancer","accessed":{"date-parts":[["2024",11,29]]}},"label":"page"}],"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1–4</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t>
      </w:r>
      <w:r>
        <w:rPr>
          <w:rFonts w:cs="Times New Roman" w:ascii="Times New Roman" w:hAnsi="Times New Roman"/>
          <w:lang w:val="en-US"/>
        </w:rPr>
        <w:t>This underscores the critical importance of developing cost-effective and more efficient anticancer therapies, ideally derived from natural sources, which offer reduced off-target toxicity and improved accessibility.</w:t>
      </w:r>
    </w:p>
    <w:p>
      <w:pPr>
        <w:pStyle w:val="Normal"/>
        <w:spacing w:before="240" w:after="0"/>
        <w:jc w:val="both"/>
        <w:rPr>
          <w:rFonts w:ascii="Times New Roman" w:hAnsi="Times New Roman" w:cs="Times New Roman"/>
        </w:rPr>
      </w:pPr>
      <w:r>
        <w:rPr>
          <w:rFonts w:cs="Times New Roman" w:ascii="Times New Roman" w:hAnsi="Times New Roman"/>
        </w:rPr>
        <w:t xml:space="preserve">Coumarins, a class of naturally derived agents, have emerged as promising candidates in cancer therapy due to their diverse mechanisms of action and therapeutic versatility. They exhibit the ability to induce apoptosis, inhibit angiogenesis, and modulate key signaling pathways such as PI3K/Akt/mTOR and VEGF, which are critical to cancer progression </w:t>
      </w:r>
      <w:r>
        <w:fldChar w:fldCharType="begin"/>
      </w:r>
      <w:r>
        <w:rPr>
          <w:rFonts w:cs="Times New Roman" w:ascii="Times New Roman" w:hAnsi="Times New Roman"/>
        </w:rPr>
        <w:instrText xml:space="preserve">ADDIN ZOTERO_ITEM CSL_CITATION {"citationID":"IFu6kfU3","properties":{"formattedCitation":"\\super 5,6\\nosupersub{}","plainCitation":"5,6","noteIndex":0},"citationItems":[{"id":482,"uris":["http://zotero.org/users/local/eLmElWd3/items/9Z52Y4QW"],"itemData":{"id":482,"type":"article-journal","abstract":"Current treatments for gynecological cancers include surgery, radiotherapy, and chemotherapy. However, these treatments often have significant side effects. Phytochemicals, natural compounds derived from plants, offer promising anticancer properties. Coumarins, a class of benzopyrone compounds found in various plants like tonka beans, exhibit notable antitumor effects. These compounds induce cell apoptosis, target PI3K/Akt/mTOR signaling pathways, inhibit carbonic anhydrase, and disrupt microtubules. Additionally, they inhibit tumor multidrug resistance and angiogenesis and regulate reactive oxygen species. Specific coumarin derivatives, such as auraptene, praeruptorin, osthole, and scopoletin, show anti-invasive, anti-migratory, and antiproliferative activities by arresting the cell cycle and inducing apoptosis. They also inhibit metalloproteinases-2 and -9, reducing tumor cell migration, invasion, and metastasis. These compounds can sensitize tumor cells to radiotherapy and chemotherapy. Synthetic coumarin derivatives also demonstrate potent antitumor and anticancer activities with minimal side effects. Given their diverse mechanisms of action and minimal side effects, coumarin-class phytochemicals hold significant potential as therapeutic agents in gynecological cancers, potentially improving treatment outcomes and reducing side effects. This review will aid in the synthesis and development of novel coumarin-based drugs for these cancers.","container-title":"Frontiers in Pharmacology","DOI":"10.3389/fphar.2024.1423480","ISSN":"1663-9812","journalAbbreviation":"Front. Pharmacol.","page":"1423480","source":"DOI.org (Crossref)","title":"A comprehensive review on the potential of coumarin and related derivatives as multi-target therapeutic agents in the management of gynecological cancers","volume":"15","author":[{"family":"Şeker Karatoprak","given":"Gökçe"},{"family":"Dumlupınar","given":"Berrak"},{"family":"Celep","given":"Engin"},{"family":"Kurt Celep","given":"Inci"},{"family":"Küpeli Akkol","given":"Esra"},{"family":"Sobarzo-Sánchez","given":"Eduardo"}],"issued":{"date-parts":[["2024",9,16]]}},"label":"page"},{"id":486,"uris":["http://zotero.org/users/local/eLmElWd3/items/WXLGACJN"],"itemData":{"id":486,"type":"article-journal","abstract":"Abstract\n            Angiogenesis, vital for tumor growth and metastasis, is a promising target in cancer therapy. Natural compounds offer potential as antiangiogenic agents with reduced toxicity. This review provides a comprehensive overview of natural product‐based antiangiogenic therapies, focusing on molecular mechanisms and therapeutic potential. A systematic search identified relevant articles from 2019 to 2023. Various natural compounds, including polyphenols, terpenes, alkaloids, cannabinoids, omega‐3 fatty acids, polysaccharides, proteins, and carotenoids, were investigated for their antiangiogenic properties. Challenges such as dose standardization, routes of administration, and potential side effects remain. Further studies, including in‐depth animal models and human epidemiological studies, must elucidate clinical efficacy and safety. Synergistic effects with current antiangiogenic therapies, such as bevacizumab and tyrosine kinase inhibitors, should be explored. Additionally, the potential hormone‐dependent effects of compounds like genistein highlight the need for safety evaluation. In conclusion, natural products hold promise as adjunctive therapies to conventional antineoplastic drugs in modulating angiogenesis in cancer. However, robust clinical trials are needed to validate preclinical findings and ensure safety and efficacy.","container-title":"Food Frontiers","DOI":"10.1002/fft2.466","ISSN":"2643-8429, 2643-8429","issue":"6","journalAbbreviation":"Food Frontiers","language":"en","license":"http://creativecommons.org/licenses/by/4.0/","page":"2423-2466","source":"DOI.org (Crossref)","title":"Natural products‐based antiangiogenic agents: New frontiers in cancer therapy","title-short":"Natural products‐based antiangiogenic agents","volume":"5","author":[{"family":"Azevedo","given":"Tiago"},{"family":"Ferreira","given":"Tiago"},{"family":"Peña‐Corona","given":"Sheila I."},{"family":"Cortes","given":"Hernán"},{"family":"Silva‐Reis","given":"Rita"},{"family":"Da Costa","given":"Rui M. Gil"},{"family":"Faustino‐Rocha","given":"Ana I."},{"family":"Oliveira","given":"Paula A."},{"family":"Calina","given":"Daniela"},{"family":"Cardoso","given":"Susana M."},{"family":"Büsselberg","given":"Dietrich"},{"family":"Leyva‐Gómez","given":"Gerardo"},{"family":"Sharifi‐Rad","given":"Javad"},{"family":"Cho","given":"William C."}],"issued":{"date-parts":[["2024",11]]}},"label":"page"}],"schema":"https://github.com/citation-style-language/schema/raw/master/csl-citation.json"}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5,6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Coumarins are also noted for their selective toxicity, reducing side effects compared to conventional treatments </w:t>
      </w:r>
      <w:r>
        <w:fldChar w:fldCharType="begin"/>
      </w:r>
      <w:r>
        <w:rPr>
          <w:rFonts w:cs="Times New Roman" w:ascii="Times New Roman" w:hAnsi="Times New Roman"/>
        </w:rPr>
        <w:instrText xml:space="preserve">ADDIN ZOTERO_ITEM CSL_CITATION {"citationID":"ylojiD7c","properties":{"formattedCitation":"\\super 7\\nosupersub{}","plainCitation":"7","noteIndex":0},"citationItems":[{"id":483,"uris":["http://zotero.org/users/local/eLmElWd3/items/3364WVVU"],"itemData":{"id":483,"type":"article-journal","container-title":"Biologics: Targets and Therapy","DOI":"10.2147/BTT.S484068","ISSN":"1177-5491","journalAbbreviation":"BTT","language":"en","license":"https://creativecommons.org/licenses/by-nc/3.0/","page":"229-255","source":"DOI.org (Crossref)","title":"Herbal Therapies for Cancer Treatment: A Review of Phytotherapeutic Efficacy","title-short":"Herbal Therapies for Cancer Treatment","volume":"Volume 18","author":[{"family":"Jenča","given":"Andrej"},{"family":"Mills","given":"David"},{"family":"Ghasemi","given":"Hadis"},{"family":"Saberian","given":"Elham"},{"family":"Jenča","given":"Andrej"},{"family":"Karimi Forood","given":"Amir Mohammad"},{"family":"Petrášová","given":"Adriána"},{"family":"Jenčová","given":"Janka"},{"family":"Jabbari Velisdeh","given":"Zeinab"},{"family":"Zare-Zardini","given":"Hadi"},{"family":"Ebrahimifar","given":"Meysam"}],"issued":{"date-parts":[["2024",9]]}}}],"schema":"https://github.com/citation-style-language/schema/raw/master/csl-citation.json"}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7</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An exciting aspect of coumarins lies in their capacity to synergize with existing treatments like chemotherapy and radiotherapy, enhancing their efficacy and potentially overcoming treatment resistance </w:t>
      </w:r>
      <w:r>
        <w:fldChar w:fldCharType="begin"/>
      </w:r>
      <w:r>
        <w:rPr>
          <w:rFonts w:cs="Times New Roman" w:ascii="Times New Roman" w:hAnsi="Times New Roman"/>
        </w:rPr>
        <w:instrText xml:space="preserve">ADDIN ZOTERO_ITEM CSL_CITATION {"citationID":"Ng8wqXaq","properties":{"formattedCitation":"\\super 8\\nosupersub{}","plainCitation":"8","noteIndex":0},"citationItems":[{"id":488,"uris":["http://zotero.org/users/local/eLmElWd3/items/TVYVMD29"],"itemData":{"id":488,"type":"article-journal","abstract":"ABSTRACT\n            Breast cancer is a common form of cancer among women characterized by the growth of malignant cells in the breast tissue. The most common treatments for this condition include chemotherapy, surgical intervention, radiation therapy, hormone therapy, and biological therapy. The primary issues associated with chemotherapy and radiation therapy are their adverse events and significant financial burden among patients in underdeveloped countries. This highlights the need to explore and develop superior therapeutic options that are less detrimental and more economically efficient. Plants provide an abundant supply of innovative compounds and present a promising new avenue for investigating cancer. Plants and their derivations are undergoing a revolution due to their reduced toxicity, expediency, cost‐effectiveness, safety, and simplicity in comparison to conventional treatment methods. Natural products are considered promising candidates for the development of anticancer drugs, due perhaps to the diverse pleiotropic effects on target events. The effects of plant‐derived products are limited to cancer cells while leaving healthy cells unaffected. Identification of compounds with strong anticancer properties and development of plant‐based medications for cancer treatment might be crucial steps in breast cancer therapy. Although bioactive compounds have potent anticancer properties, they also have drawbacks that need to be resolved before their application in clinical trials and improved for the approved drugs. This study aims to give comprehensive information on known anticancer compounds, including their sources and molecular mechanisms of actions, along with opportunities and challenges in plant‐based anticancer therapies.","container-title":"Cancer Reports","DOI":"10.1002/cnr2.70012","ISSN":"2573-8348, 2573-8348","issue":"10","journalAbbreviation":"Cancer Reports","language":"en","page":"e70012","source":"DOI.org (Crossref)","title":"Plant‐Based Anticancer Compounds With a Focus on Breast Cancer","volume":"7","author":[{"family":"Hasan‐Abad","given":"Amin Moradi"},{"family":"Atapour","given":"Amir"},{"family":"Sobhani‐Nasab","given":"Ali"},{"family":"Motedayyen","given":"Hossein"},{"family":"ArefNezhad","given":"Reza"}],"issued":{"date-parts":[["2024",10]]}}}],"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8</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To note, advances in coumarin research, particularly the development of derivatives such as coumarinyl-triazole hybrids, have shown promise in improving their bioavailability </w:t>
      </w:r>
      <w:r>
        <w:fldChar w:fldCharType="begin"/>
      </w:r>
      <w:r>
        <w:rPr>
          <w:rFonts w:cs="Times New Roman" w:ascii="Times New Roman" w:hAnsi="Times New Roman"/>
        </w:rPr>
        <w:instrText xml:space="preserve">ADDIN ZOTERO_ITEM CSL_CITATION {"citationID":"0Ggw1WPu","properties":{"formattedCitation":"\\super 9,10\\nosupersub{}","plainCitation":"9,10","noteIndex":0},"citationItems":[{"id":489,"uris":["http://zotero.org/users/local/eLmElWd3/items/66BXECIJ"],"itemData":{"id":489,"type":"article-journal","container-title":"Journal of Molecular Structure","DOI":"10.1016/j.molstruc.2024.137478","ISSN":"00222860","journalAbbreviation":"Journal of Molecular Structure","language":"en","page":"137478","source":"DOI.org (Crossref)","title":"A comprehensive overview of coumarinyl-triazole hybrids as anticancer agents","volume":"1302","author":[{"family":"Nesaragi","given":"Aravind R."},{"family":"Algethami","given":"Jari S."},{"family":"Alsaiari","given":"Mabkhoot"},{"family":"Alsareii","given":"Saeed A."},{"family":"Mathada","given":"Basavarajaiah Suliphuldevara"},{"family":"Ningaiah","given":"Srikantamurthy"},{"family":"Sasidhar","given":"B.S."},{"family":"Harraz","given":"Farid A."},{"family":"Patil","given":"Siddappa A."}],"issued":{"date-parts":[["2024",4]]}}},{"id":487,"uris":["http://zotero.org/users/local/eLmElWd3/items/WQLZV44W"],"itemData":{"id":487,"type":"article-journal","container-title":"Oncology Reports","DOI":"10.3892/or.2024.8782","ISSN":"1021-335X, 1791-2431","issue":"3","journalAbbreviation":"Oncol Rep","page":"123","source":"DOI.org (Crossref)","title":"Natural products targeting ferroptosis pathways in cancer therapy (Review)","volume":"52","author":[{"family":"Na","given":"Xin"},{"family":"Li","given":"Lin"},{"family":"Liu","given":"Dongmei"},{"family":"He","given":"Jiaqi"},{"family":"Zhang","given":"Ling"},{"family":"Zhou","given":"Yiping"}],"issued":{"date-parts":[["2024",7,23]]}}}],"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9,10</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w:t>
      </w:r>
    </w:p>
    <w:p>
      <w:pPr>
        <w:pStyle w:val="Normal"/>
        <w:spacing w:before="240" w:after="0"/>
        <w:jc w:val="both"/>
        <w:rPr>
          <w:rFonts w:ascii="Times New Roman" w:hAnsi="Times New Roman" w:cs="Times New Roman"/>
        </w:rPr>
      </w:pPr>
      <w:r>
        <w:rPr>
          <w:rFonts w:cs="Times New Roman" w:ascii="Times New Roman" w:hAnsi="Times New Roman"/>
        </w:rPr>
        <w:t xml:space="preserve">Esculetin, galbanic acid, umbelliprenin and auraptene are naturally occuring coumarins that share a common structural framework characterized by a benzopyran moiety (Figure 1). Esculetin, a dihydroxycoumarin, exerts anticancer effects by downregulating cyclin D1 and CDK4 to induce cell cycle arrest. It triggers apoptosis through caspase-3 activation and increased reactive oxygen species levels while inhibiting the JAK2/STAT3 pathway, critical for tumor growth and migration. Additionally, esculetin demonstrates synergistic effects when combined with therapeutic agents, providing a promising strategy to overcome drug resistance in cancer cells </w:t>
      </w:r>
      <w:r>
        <w:fldChar w:fldCharType="begin"/>
      </w:r>
      <w:r>
        <w:rPr>
          <w:rFonts w:cs="Times New Roman" w:ascii="Times New Roman" w:hAnsi="Times New Roman"/>
        </w:rPr>
        <w:instrText xml:space="preserve">ADDIN ZOTERO_ITEM CSL_CITATION {"citationID":"p9OvVhgT","properties":{"formattedCitation":"\\super 11\\uc0\\u8211{}13\\nosupersub{}","plainCitation":"11–13","noteIndex":0},"citationItems":[{"id":493,"uris":["http://zotero.org/users/local/eLmElWd3/items/9PMMXZF3"],"itemData":{"id":493,"type":"article-journal","abstract":"Mammary gland tumors are the most common neoplasms in female dogs, of which 50% are malignant. Esculetin, a coumarin derivative, reportedly induces death in different types of cancer cells. In this study, we explore the anticancer effects of esculetin against CMT-U27 and CF41.mg canine mammary gland tumor cells. Esculetin significantly inhibited the viability and migration of both CMT-U27 and CF41.mg cells in a dose- and time-dependent manner. Flow cytometric analysis and terminal deoxynucleotidyl transferase dUTP nick-end labeling assay revealed increased numbers of annexin-V-positive cells and DNA fragmentation. Furthermore, a cell cycle analysis demonstrated that esculetin blocked the cell progression at the G0/G1 phase and the S phase in CMT-U27 and CF41.mg cells. These results were supported by a Western blot analysis, which revealed upregulated protein expression of cleaved caspase-3, a marker of apoptosis, and downregulated cyclin-dependent kinase 4 and cyclin D1 protein, the cell cycle regulators. In conclusion, this novel study proves that esculetin exerts in vitro antitumor effects by inducing apoptosis and cell cycle arrest in canine mammary gland tumors.","container-title":"Veterinary Sciences","DOI":"10.3390/vetsci10020084","ISSN":"2306-7381","issue":"2","journalAbbreviation":"Veterinary Sciences","language":"en","license":"https://creativecommons.org/licenses/by/4.0/","page":"84","source":"DOI.org (Crossref)","title":"Antitumor Effects of Esculetin, a Natural Coumarin Derivative, against Canine Mammary Gland Tumor Cells by Inducing Cell Cycle Arrest and Apoptosis","volume":"10","author":[{"family":"Choi","given":"Jawun"},{"family":"Yoo","given":"Min-Jae"},{"family":"Park","given":"Sang-Youel"},{"family":"Seol","given":"Jae-Won"}],"issued":{"date-parts":[["2023",1,22]]}}},{"id":402,"uris":["http://zotero.org/users/local/eLmElWd3/items/4HWTYKIP"],"itemData":{"id":402,"type":"article-journal","abstract":"Objectives Esculetin is a coumarin derivative, which is extracted from the dried barks of fraxinus chinensis Roxb. Although it is reported esculetin possesses multiple pharmacological activities, its associated regulatory mechanism on ovarian cancer isn’t well investigated.\nMethods Cytotoxicity is evaluated by MTT, clonogenic and living/dead cells staining assays. Migration and invasion effects are investigated by wound healing, and transwell assays. The effect of cell cycle and apoptosis are analyzed by flow cytometry and western blotting. Mitochondrial membrane potential and intracellular reactive oxygen species (ROS) is assessed by fluorescence microscope. Analysis of animal experiments are carried out by various pathological section assays. Key findings Esculetin exerts an anti- ovarian cancer effect. It is found that apoptosis induction is promoted by the accumulation of excessive ROS and inhibition of JAK2/STAT3 signalling pathway. In addition, exposure to esculetin leads to the cell viability reduction, migration and invasion capability decrease and G0/G1 phase cell cycle arrest induced by down-regulating downstream targets of STAT3. In vivo experimental results also indicate esculetin can inhibit tumour growth of mice.\nConclusions Our study provides some strong evidences to support esculetin as a potential anti-cancer agent in ovarian cancer.","container-title":"Journal of Pharmacy and Pharmacology","DOI":"10.1093/jpp/rgac083","ISSN":"0022-3573, 2042-7158","issue":"1","language":"en","license":"https://academic.oup.com/pages/standard-publication-reuse-rights","page":"87-97","source":"DOI.org (Crossref)","title":"Antiovarian cancer mechanism of esculetin: inducing G0/G1 arrest and apoptosis via JAK2/STAT3 signalling pathway","title-short":"Antiovarian cancer mechanism of esculetin","volume":"75","author":[{"family":"Yin","given":"Wen"},{"family":"Fu","given":"Xu"},{"family":"Chang","given":"Wenwen"},{"family":"Han","given":"Li"},{"family":"Meng","given":"Jiahao"},{"family":"Cao","given":"Aijia"},{"family":"Ren","given":"Xiaomin"},{"family":"Fan","given":"Zhongxiong"},{"family":"Zhou","given":"Suqin"}],"issued":{"date-parts":[["2023",1,31]]}}},{"id":269,"uris":["http://zotero.org/users/local/eLmElWd3/items/83AE4YC9"],"itemData":{"id":269,"type":"article-journal","abstract":"Background: The growing complexity of cancer has made it a significant concern in the medical community. Although cancer research has advanced, it is still challenging to create new effective medications due to the limitations and side effects of existing treatment strategies. These are enforcing the development of some alternative drugs from natural compounds with fewer drawbacks and side effects. Aim: Therefore, this review aims to provide up-to-date, crucial, and all-encompassing data on esculetin's anticancer activity, including all relevant molecular and cellular processes based on in vivo and in vitro investigations.\nResults: According to the literature review, esculetin is available in nature and is effective against 16 different types of cancer. The general mechanism shown by esculetin is modulating signaling cascades and its related pathways, like cell proliferation, cell growth, autophagy, apoptosis, necrosis, inflammation, angiogenesis, metastasis, invasion, and DNA damage. Nanoformulation of esculetin improves this natural product's efficacy by improving water solubility. Esculetin's synergistic effects with both natural substances and conventional treatments have been shown, and this method aids in reversing resistance mechanisms by modulating resistance-related proteins. In addition, it has fewer side effects on humans than other phytochemicals and standard drugs with some good pharmacokinetic features.\nConclusion: Therefore, until standard chemotherapeutics are available in pharmaceutical markets, esculetin should be used as a therapeutic drug against various cancer types.","container-title":"Cancer Reports","DOI":"10.1002/cnr2.1948","ISSN":"2573-8348, 2573-8348","issue":"1","journalAbbreviation":"Cancer Reports","language":"en","page":"e1948","source":"DOI.org (Crossref)","title":"Esculetin unveiled: Decoding its anti‐tumor potential through molecular mechanisms—A comprehensive review","title-short":"Esculetin unveiled","volume":"7","author":[{"family":"Rezoan Hossain","given":"Md."},{"family":"Zahra Shova","given":"Fatema Tuj"},{"family":"Akter","given":"Munni"},{"family":"Shuvo","given":"Shahporan"},{"family":"Ahmed","given":"Nasim"},{"family":"Akter","given":"Afroza"},{"family":"Haque","given":"Munira"},{"family":"Salma","given":"Umme"},{"family":"Roman Mogal","given":"Md"},{"family":"Saha","given":"Hasi Rani"},{"family":"Sarkar","given":"Bidhan Chandra"},{"family":"Sohel","given":"Md"}],"issued":{"date-parts":[["2024",1]]}}}],"schema":"https://github.com/citation-style-language/schema/raw/master/csl-citation.json"}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11–13</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As sesquiterpene coumarins, galbanic acid, umbelliprenin and auraptene also show anti-cancer effects. Galbanic acid induces apoptosis by upregulating pro-apoptotic proteins like bax and caspase-3 while suppressing anti-apoptotic bcl-2. It inhibits cell cycle progression via the PI3K/Akt/mTOR pathway and reduces migration by downregulating matrix metalloproteinases </w:t>
      </w:r>
      <w:r>
        <w:fldChar w:fldCharType="begin"/>
      </w:r>
      <w:r>
        <w:rPr>
          <w:rFonts w:cs="Times New Roman" w:ascii="Times New Roman" w:hAnsi="Times New Roman"/>
        </w:rPr>
        <w:instrText xml:space="preserve">ADDIN ZOTERO_ITEM CSL_CITATION {"citationID":"JTdvfikj","properties":{"formattedCitation":"\\super 14\\uc0\\u8211{}16\\nosupersub{}","plainCitation":"14–16","noteIndex":0},"citationItems":[{"id":681,"uris":["http://zotero.org/users/local/eLmElWd3/items/3H9FWIRN"],"itemData":{"id":681,"type":"article-journal","abstract":"INTRODUCTION: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family":"Karimi","given":"Ehsan"},{"family":"Oskoueian","given":"Ehsan"},{"family":"Iranshahi","given":"Mehrdad"},{"family":"Neamati","given":"Ali"}],"issued":{"date-parts":[["2019",11]]}}},{"id":515,"uris":["http://zotero.org/users/local/eLmElWd3/items/TD29WQ8Z"],"itemData":{"id":515,"type":"article-journal","abstract":"Background:\n              Glioblastoma is one of the most aggressive tumors of central nervous system. Galbanic acid, a natural sesquiterpene\ncoumarin, has shown favorable effects on cancerous cells in previous studies.\n            \n            \n              Objective:\n              The aim of the present work was to evaluate the effects of galbanic acid on proliferation, migration, and apoptosis of the human\nmalignant glioblastoma (U87) cells.\n            \n            \n              Methods:\n              Anti-proliferative activity of the compound was determined by MTT assay. Cell cycle alterations and apoptosis were analyzed via\nflow cytometry. Action on cell migration was evaluated by scratch assay and gelatin zymography. Quantitative Real-Time PCR was used to\ndetermine the expression of genes involved in cell migration (matrix metalloproteinases, MMPs) and survival (the pathways of PI3K/Akt/mTOR\nand WNT/β-catenin). Alteration in the level of protein Akt was determined by Western blotting.\n            \n            \n              Results:\n              Galbanic acid significantly decreased cell proliferation, inhibited cell cycle, and stimulated apoptosis of the glioblastoma cells. Also,\nit could decrease migration capability of glioblastoma cells, which was accompanied by an inhibition in the activity and expression of MMP2\nand MMP9. While galbanic acid reduced the gene expression of Akt, mTOR, and PI3K and increased the PTEN expression, it had no significant\neffect on WNT, β-catenin, and APC genes. Also, the protein level of p-Akt decreased after treatment with galbanic acid. The effects of galbanic\nacid were observed at concentrations lower than those of temozolomide.\n            \n            \n              Conclusion:\n              Galbanic acid decreased proliferation, cell cycle progression, and survival of glioblastoma cells through inhibiting\nPI3K/Akt/mTOR pathway. This compound also reduced migration capability of the cells by suppressing the activity and expression of MMPs.","container-title":"Current Molecular Pharmacology","DOI":"10.2174/1874467213666200512075507","ISSN":"18744672","issue":"1","journalAbbreviation":"CMP","language":"en","page":"79-87","source":"DOI.org (Crossref)","title":"Effects of Galbanic Acid on Proliferation, Migration, and Apoptosis of Glioblastoma Cells Through the PI3K/Akt/MTOR Signaling Pathway","volume":"14","author":[{"family":"Shahcheraghi","given":"Seyed H."},{"family":"Lotfi","given":"Marzieh"},{"family":"Soukhtanloo","given":"Mohammad"},{"family":"Ghayour-Mobarhan","given":"Majid"},{"family":"Jaliani","given":"Hossein Z."},{"family":"Sadeghnia","given":"Hamid R."},{"family":"Ghorbani","given":"Ahmad"}],"issued":{"date-parts":[["2020",12,31]]}}},{"id":516,"uris":["http://zotero.org/users/local/eLmElWd3/items/EXYNWTQK"],"itemData":{"id":516,"type":"article-journal","abstract":"Abstract\n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family":"Ghows","given":"Narjes"},{"family":"Tayarani-Najaran","given":"Zahra"},{"family":"Iranshahi","given":"Mehrdad"}],"issued":{"date-parts":[["2019",1]]}}}],"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14–16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Umbelliprenin promotes apoptosis by upregulating apoptotic proteins and downregulating stemness factors. It suppresses angiogenesis by modulating the PI3K/AKT/MAPK pathways, induces cell cycle arrest and also acts as a radiosensitizer </w:t>
      </w:r>
      <w:r>
        <w:fldChar w:fldCharType="begin"/>
      </w:r>
      <w:r>
        <w:rPr>
          <w:rFonts w:cs="Times New Roman" w:ascii="Times New Roman" w:hAnsi="Times New Roman"/>
        </w:rPr>
        <w:instrText xml:space="preserve">ADDIN ZOTERO_ITEM CSL_CITATION {"citationID":"C7NCPwQL","properties":{"formattedCitation":"\\super 17\\uc0\\u8211{}21\\nosupersub{}","plainCitation":"17–21","noteIndex":0},"citationItems":[{"id":500,"uris":["http://zotero.org/users/local/eLmElWd3/items/PXHBWLPS"],"itemData":{"id":500,"type":"article-journal","abstract":"Abstract\n            \n              Background\n              \n                Umbelliprenin is a sesquiterpene coumarin isolated from\n                Artemisia absinthium\n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Gholamali"},{"family":"Ghafghazi","given":"Shiva"},{"family":"Ziai","given":"Seyed Ali"}],"accessed":{"date-parts":[["2024",11,29]]},"issued":{"date-parts":[["2022",4]]}}},{"id":502,"uris":["http://zotero.org/users/local/eLmElWd3/items/WL9EDR4K"],"itemData":{"id":502,"type":"article-journal","container-title":"Research Journal of Pharmacognosy","DOI":"10.22127/rjp.2020.119314","issue":"1","journalAbbreviation":"Res J Pharmacogn","language":"eng","source":"DOI.org (CSL JSON)","title":"Umbelliprenin Suppresses Angiogenesis Signaling in SKBR-3 Cell Line by Downregulation of EGF/CoCl2 -Mediated PI3K/AKT/MAPK","URL":"https://doi.org/10.22127/rjp.2020.119314","volume":"8","author":[{"family":"Atabakhshian","given":"Roya"},{"family":"Salami","given":"Siamak"},{"family":"Mirfakhraie","given":"Reza"},{"family":"Mahmoodi Khatonabadi","given":"Somayeh"},{"family":"Sirati-Sabet","given":"Majid"},{"family":"Gholamali Yaghmaei","given":"Bahram"},{"family":"Ghafghazi","given":"Shiva"},{"family":"Dowlati Beirami","given":"Amirreza"},{"family":"Sadat Rezaei","given":"Mitra"},{"family":"Ziai*","given":"Seyed Ali"}],"accessed":{"date-parts":[["2024",11,29]]},"issued":{"date-parts":[["2021",1]]}}},{"id":504,"uris":["http://zotero.org/users/local/eLmElWd3/items/KXSMMZ9Z"],"itemData":{"id":504,"type":"article-journal","abstract":"Cancer is one of the greatest causes of mortality worldwide. The prevalence rates of different types of cancer is increasing around the world as well. Limitations in chemotherapy and radiotherapy, owing to multiple side effects including cytotoxic effects of antitumor compounds on normal cells as well as the development of resistance to these treatment options in patients, create a serious threat to successful treatment of cancer. The use of natural compounds to prevent and treat cancers has been found to be quite effective, with fewer adverse effects found in patients. Umbelliprenin (UMB) is a naturally occurring sesquiterpene compound found in Ferula species and recently in Artemisia absinthium. Many studies have highlighted the antitumor potential of UMB in different cancer cell lines as well as in animal models. UMB exerts its anticancer actions by regulating extrinsic and intrinsic apoptotic pathways; causing inhibition of the cell cycle at the G0/G1 phase; and attenuating migration and invasion by modulating the Wnt signaling, NF-ĸB, TGFβ, and Fox3 signaling pathways. UMB also affects the key hallmarks of tumor cells by attenuating tumor growth, angiogenesis, and metastasis. This review provides an insight into the role of UMB as a potential antitumor drug for different malignancies and highlights the signaling cascades affected by UMB treatment in diverse tumor cell lines and preclinical models.","container-title":"Biomedicines","DOI":"10.3390/biomedicines8050126","ISSN":"2227-9059","issue":"5","journalAbbreviation":"Biomedicines","language":"en","license":"https://creativecommons.org/licenses/by/4.0/","page":"126","source":"DOI.org (Crossref)","title":"Assessment of the Antitumor Potential of Umbelliprenin, a Naturally Occurring Sesquiterpene Coumarin","volume":"8","author":[{"family":"Shahzadi","given":"Iram"},{"family":"Ali","given":"Zain"},{"family":"Baek","given":"Seung Ho"},{"family":"Mirza","given":"Bushra"},{"family":"Ahn","given":"Kwang Seok"}],"issued":{"date-parts":[["2020",5,18]]}}},{"id":601,"uris":["http://zotero.org/users/local/eLmElWd3/items/BKV44D9Z"],"itemData":{"id":601,"type":"article-journal","abstract":"Adult T-cell leukemia/lymphoma (ATL) is an aggressive malignancy with poor survival rates. The efficacy of radiotherapy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Reza"},{"family":"Rafatpanah","given":"Houshang"},{"family":"Iranshahi","given":"Mehrdad"},{"family":"Rassouli","given":"Fatemeh B"}],"issued":{"date-parts":[["2024",1]]}}}],"schema":"https://github.com/citation-style-language/schema/raw/master/csl-citation.json"}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17–21</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The anticancer potential of auraptene is linked to the modulation of intracellular signaling pathways that control proliferation and inflammation. It induces apoptosis and cell cycle arrest and inhibits metastasis while enhances the efficacy of conventional chemotherapeutic drugs, addressing chemoresistance </w:t>
      </w:r>
      <w:r>
        <w:fldChar w:fldCharType="begin"/>
      </w:r>
      <w:r>
        <w:rPr>
          <w:rFonts w:cs="Times New Roman" w:ascii="Times New Roman" w:hAnsi="Times New Roman"/>
        </w:rPr>
        <w:instrText xml:space="preserve">ADDIN ZOTERO_ITEM CSL_CITATION {"citationID":"1OjlhNvV","properties":{"formattedCitation":"\\super 22\\uc0\\u8211{}26\\nosupersub{}","plainCitation":"22–26","noteIndex":0},"citationItems":[{"id":507,"uris":["http://zotero.org/users/local/eLmElWd3/items/E4M7Z9DP"],"itemData":{"id":507,"type":"article-journal","container-title":"Tissue and Cell","DOI":"10.1016/j.tice.2022.102004","ISSN":"00408166","journalAbbreviation":"Tissue and Cell","language":"en","page":"102004","source":"DOI.org (Crossref)","title":"Anti-tumor effects of Auraptene through induction of apoptosis and oxidative stress in a mouse model of colorectal cancer","volume":"81","author":[{"family":"Ebrahimi","given":"Sepideh"},{"family":"Soukhtanloo","given":"Mohammad"},{"family":"Mostafavi-Pour","given":"Zohreh"}],"issued":{"date-parts":[["2023",4]]}}},{"id":508,"uris":["http://zotero.org/users/local/eLmElWd3/items/YKEB4WN5"],"itemData":{"id":508,"type":"article-journal","container-title":"Avicenna Journal of Phytomedicine","DOI":"10.22038/ajp.2023.23586","issue":"3","journalAbbreviation":"Avicenna Journal of Phytomedicine","language":"eng","source":"DOI.org (CSL JSON)","title":"Auraptene inhibits migration invasion and metastatic behavior of human malignant glioblastoma cells: An in vitro and in silico study","title-short":"Auraptene inhibits migration invasion and metastatic behavior of human malignant glioblastoma cells","URL":"https://doi.org/10.22038/ajp.2023.23586","volume":"14","author":[{"family":"Mousavi","given":"Seyed Hadi"},{"family":"JaliliNik","given":"Mohammad"},{"family":"Soukhtanloo","given":"Mohammad"},{"family":"Soltani","given":"Arash"},{"family":"AbbasinezhadMoud","given":"Farzaneh"},{"family":"Mollazadeh","given":"Hamid"},{"family":"Shakeri","given":"Farzaneh"},{"family":"Bibak","given":"Bahram"},{"family":"Sahebkar","given":"Amirhossein"},{"family":"Afshari","given":"Amir R."}],"accessed":{"date-parts":[["2024",11,29]]},"issued":{"date-parts":[["2024",5]]}}},{"id":658,"uris":["http://zotero.org/users/local/eLmElWd3/items/FC9AFPK9"],"itemData":{"id":658,"type":"article-journal","abstract":"Approximately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ly":"Campos-Valenzuela","given":"Alondra"},{"family":"Díaz-Molina","given":"Raúl"},{"family":"Muñiz-Salazar","given":"Raquel"},{"family":"Galindo-Hernández","given":"Octavio"},{"family":"García-González","given":"Victor"}],"issued":{"date-parts":[["2024",9,6]]}}},{"id":364,"uris":["http://zotero.org/users/local/eLmElWd3/items/R7MJPPD8"],"itemData":{"id":364,"type":"article-journal","abstract":"Abstract\n            Auraptene (AUR) and umbelliprenin (UMB) are naturally occurring prenylated coumarins that have demonstrated promising anticancer effects across various human cancer cell lines. This meta-analysis aimed to systematically assess, compare, and quantify the anticancer efficacy of AUR and UMB by synthesizing evidence from in vitro studies. A comprehensive literature search identified 27 eligible studies investigating AUR or UMB against cancer cells. Mixed-effects models revealed significant negative associations between coumarin dose and viability for AUR (est. = − 2.27) and UMB (est. = − 3.990), underscoring their dose-dependent cytotoxicity. Meta-regression indicated slightly higher potency for UMB over AUR, potentially due to increased lipophilicity imparted by additional isoprenyl units. Machine learning approaches identified coumarin dose and cancer type as the most influential determinants of toxicity, while treatment duration and the specific coumarin displayed weaker effects. Moderate (AUR) to substantial (UMB) between-study heterogeneity was detected, although the findings proved robust. In summary, this meta-analysis establishes AUR and UMB as promising natural anticancer candidates with clear dose-toxicity relationships across diverse malignancies. The structural insights and quantifications of anticancer efficacy can inform forthcoming efforts assessing therapeutic potential in pre-clinical models and human trials.","container-title":"Scientific Reports","DOI":"10.1038/s41598-024-62747-z","ISSN":"2045-2322","issue":"1","journalAbbreviation":"Sci Rep","language":"en","page":"11770","source":"DOI.org (Crossref)","title":"Joining up the scattered anticancer knowledge on auraptene and umbelliprenin: a meta-analysis","title-short":"Joining up the scattered anticancer knowledge on auraptene and umbelliprenin","volume":"14","author":[{"family":"Shakiba","given":"Mohammadhosein"},{"family":"Rassouli","given":"Fatemeh B."}],"issued":{"date-parts":[["2024",5,23]]}}},{"id":512,"uris":["http://zotero.org/users/local/eLmElWd3/items/W32Q9BTD"],"itemData":{"id":512,"type":"article-journal","abstract":"Auraptene is a bioactive monoterpene coumarin isolated from\n              Citrus aurantium\n              and\n              Aegle marmelos\n              that belong to the Rutaceae family. Auraptene can modulate intracellular signaling pathways that control cell growth, inflammation and apoptosis and can exert pharmacological properties such as anti-bacterial, anti-fungal, antileishmania and anti-oxidant activity. Auraptene had inhibitory and chemo-preventive effects on the proliferation, tumorigenesis and growth of several cancer cell lines through increase in the activity of glutathione S-transferase, formation of DNA adducts and reduction of the number of aberrant crypt foci. Auraptene exhibits anticancer effects via targeting different cell signaling pathways such as cytokines, genes modulating cellular proliferation, growth factors, transcription factors and apoptosis. The present review is a detailed survey of scientific researches on the cytotoxicity and anticancer activity of Auraptene on cancer cells and tumor bearing animals.","container-title":"Frontiers in Pharmacology","DOI":"10.3389/fphar.2021.698352","ISSN":"1663-9812","journalAbbreviation":"Front. Pharmacol.","page":"698352","source":"DOI.org (Crossref)","title":"A Review of Auraptene as an Anticancer Agent","volume":"12","author":[{"family":"Tayarani-Najaran","given":"Zahra"},{"family":"Tayarani-Najaran","given":"Nilufar"},{"family":"Eghbali","given":"Samira"}],"issued":{"date-parts":[["2021",6,22]]}}}],"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22–26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w:t>
      </w:r>
    </w:p>
    <w:p>
      <w:pPr>
        <w:pStyle w:val="Normal"/>
        <w:spacing w:before="240" w:after="0"/>
        <w:jc w:val="both"/>
        <w:rPr>
          <w:rFonts w:ascii="Times New Roman" w:hAnsi="Times New Roman" w:cs="Times New Roman"/>
        </w:rPr>
      </w:pPr>
      <w:r>
        <w:rPr>
          <w:rFonts w:cs="Times New Roman" w:ascii="Times New Roman" w:hAnsi="Times New Roman"/>
        </w:rPr>
        <w:t>The application of machine learning (ML) in cancer research marks a transformative shift toward the discovery of novel and more effective therapeutic agents. By leveraging advanced computational models, ML enables precise target identification, optimization of drug dosing, and refinement of administration schedules to enhance efficacy while minimizing adverse effects. These models analyze complex biological datasets, uncovering patterns that traditional methods often overlook. Additionally, advancements in deep learning techniques have shown remarkable potential in accurately predicting drug responses and bridging the gap between preclinical findings and clinical applications</w:t>
      </w:r>
      <w:r>
        <w:rPr>
          <w:rFonts w:cs="Times New Roman" w:ascii="Times New Roman" w:hAnsi="Times New Roman"/>
          <w:lang w:val="en-US" w:bidi="fa-IR"/>
        </w:rPr>
        <w:t xml:space="preserve"> </w:t>
      </w:r>
      <w:r>
        <w:fldChar w:fldCharType="begin"/>
      </w:r>
      <w:r>
        <w:rPr>
          <w:rFonts w:cs="Times New Roman" w:ascii="Times New Roman" w:hAnsi="Times New Roman"/>
          <w:lang w:val="en-US" w:bidi="fa-IR"/>
        </w:rPr>
        <w:instrText xml:space="preserve">ADDIN ZOTERO_ITEM CSL_CITATION {"citationID":"87Hf0Vlf","properties":{"formattedCitation":"\\super 27,28\\nosupersub{}","plainCitation":"27,28","noteIndex":0},"citationItems":[{"id":520,"uris":["http://zotero.org/users/local/eLmElWd3/items/SRJYJR6W"],"itemData":{"id":520,"type":"article-journal","abstract":"The role of machine learning (a part of artificial intelligence—AI) in the diagnosis and treatment of various types of oncology is steadily increasing. It is expected that the use of AI in oncology will speed up both diagnostic and treatment planning processes. This review describes recent applications of machine learning in oncology, including medical image analysis, treatment planning, patient survival prognosis, and the synthesis of drugs at the point of care. The fast and reliable analysis of medical images is of great importance in the case of fast-flowing forms of cancer. The introduction of ML for the analysis of constantly growing volumes of big data makes it possible to improve the quality of prescribed treatment and patient care. Thus, ML is expected to become an essential technology for medical specialists. The ML model has already improved prognostic prediction for patients compared to traditional staging algorithms. The direct synthesis of the necessary medical substances (small molecule mixtures) at the point of care could also seriously benefit from the application of ML. We further review the main trends in the use of artificial intelligence-based technologies in modern oncology. This review demonstrates the future prospects of using ML tools to make progress in cancer research, as well as in other areas of medicine. Despite growing interest in the use of modern computer technologies in medical practice, a number of unresolved ethical and legal problems remain. In this review, we also discuss the most relevant issues among them.","container-title":"Cancers","DOI":"10.3390/cancers16061100","ISSN":"2072-6694","issue":"6","journalAbbreviation":"Cancers","language":"en","license":"https://creativecommons.org/licenses/by/4.0/","page":"1100","source":"DOI.org (Crossref)","title":"Machine Learning Meets Cancer","volume":"16","author":[{"family":"Varlamova","given":"Elena V."},{"family":"Butakova","given":"Maria A."},{"family":"Semyonova","given":"Vlada V."},{"family":"Soldatov","given":"Sergey A."},{"family":"Poltavskiy","given":"Artem V."},{"family":"Kit","given":"Oleg I."},{"family":"Soldatov","given":"Alexander V."}],"issued":{"date-parts":[["2024",3,8]]}}},{"id":522,"uris":["http://zotero.org/users/local/eLmElWd3/items/BXHTLIAX"],"itemData":{"id":522,"type":"article-journal","abstract":"Abstract\n            Drug response prediction is an important problem in personalized cancer therapy. Among various newly developed models, significant improvement in prediction performance has been reported using deep learning methods. However, systematic comparisons of deep learning methods, especially of the transferability from preclinical models to clinical cohorts, are currently lacking. To provide a more rigorous assessment, the performance of six representative deep learning methods for drug response prediction using nine evaluation metrics, including the overall prediction accuracy, predictability of each drug, potential associated factors and transferability to clinical cohorts, in multiple application scenarios was benchmarked. Most methods show promising prediction within cell line datasets, and TGSA, with its lower time cost and better performance, is recommended. Although the performance metrics decrease when applying models trained on cell lines to patients, a certain amount of power to distinguish clinical response on some drugs can be maintained using CRDNN and TGSA. With these assessments, we provide a guidance for researchers to choose appropriate methods, as well as insights into future directions for the development of more effective methods in clinical scenarios.","container-title":"Briefings in Bioinformatics","DOI":"10.1093/bib/bbac605","ISSN":"1467-5463, 1477-4054","issue":"1","language":"en","license":"https://academic.oup.com/journals/pages/open_access/funder_policies/chorus/standard_publication_model","page":"bbac605","source":"DOI.org (Crossref)","title":"A systematic assessment of deep learning methods for drug response prediction: from in vitro to clinical applications","title-short":"A systematic assessment of deep learning methods for drug response prediction","volume":"24","author":[{"family":"Shen","given":"Bihan"},{"family":"Feng","given":"Fangyoumin"},{"family":"Li","given":"Kunshi"},{"family":"Lin","given":"Ping"},{"family":"Ma","given":"Liangxiao"},{"family":"Li","given":"Hong"}],"issued":{"date-parts":[["2023",1,19]]}}}],"schema":"https://github.com/citation-style-language/schema/raw/master/csl-citation.json"}</w:instrText>
      </w:r>
      <w:r>
        <w:rPr>
          <w:rFonts w:cs="Times New Roman" w:ascii="Times New Roman" w:hAnsi="Times New Roman"/>
          <w:lang w:val="en-US" w:bidi="fa-IR"/>
        </w:rPr>
      </w:r>
      <w:r>
        <w:rPr>
          <w:rFonts w:cs="Times New Roman" w:ascii="Times New Roman" w:hAnsi="Times New Roman"/>
          <w:lang w:val="en-US" w:bidi="fa-IR"/>
        </w:rPr>
        <w:fldChar w:fldCharType="separate"/>
      </w:r>
      <w:r>
        <w:rPr>
          <w:rFonts w:cs="Times New Roman" w:ascii="Times New Roman" w:hAnsi="Times New Roman"/>
          <w:lang w:val="en-US" w:bidi="fa-IR"/>
        </w:rPr>
      </w:r>
      <w:r>
        <w:rPr>
          <w:rFonts w:cs="Times New Roman" w:ascii="Times New Roman" w:hAnsi="Times New Roman"/>
          <w:vertAlign w:val="superscript"/>
        </w:rPr>
        <w:t>27,28</w:t>
      </w:r>
      <w:r>
        <w:rPr>
          <w:rFonts w:cs="Times New Roman" w:ascii="Times New Roman" w:hAnsi="Times New Roman"/>
          <w:lang w:val="en-US" w:bidi="fa-IR"/>
        </w:rPr>
      </w:r>
      <w:r>
        <w:rPr>
          <w:rFonts w:cs="Times New Roman" w:ascii="Times New Roman" w:hAnsi="Times New Roman"/>
          <w:lang w:val="en-US" w:bidi="fa-IR"/>
        </w:rPr>
        <w:fldChar w:fldCharType="end"/>
      </w:r>
      <w:r>
        <w:rPr>
          <w:rFonts w:cs="Times New Roman" w:ascii="Times New Roman" w:hAnsi="Times New Roman"/>
        </w:rPr>
        <w:t xml:space="preserve">. Such innovations not only accelerate the drug discovery process but also improve treatment precision, offering new avenues for combating drug resistance and enhancing patient outcomes. </w:t>
      </w:r>
    </w:p>
    <w:p>
      <w:pPr>
        <w:pStyle w:val="Normal"/>
        <w:spacing w:before="240" w:after="0"/>
        <w:jc w:val="both"/>
        <w:rPr>
          <w:rFonts w:ascii="Times New Roman" w:hAnsi="Times New Roman" w:cs="Times New Roman"/>
        </w:rPr>
      </w:pPr>
      <w:r>
        <w:rPr>
          <w:rFonts w:cs="Times New Roman" w:ascii="Times New Roman" w:hAnsi="Times New Roman"/>
        </w:rPr>
        <w:t>Acknowledging the extensive research on natural coumarins, a systematic comparison of the anticancer effects of esculetin, galbanic acid, umbelliprenin, and auraptene was conducted in this study. A comprehensive evaluation of the anticancer properties of these compounds across various cancer types was performed.  Advanced machine learning (ML) techniques were employed to identify critical factors influencing their effectiveness, yielding insights into the therapeutic potential of these natural agents. To validate the ML predictions, </w:t>
      </w:r>
      <w:r>
        <w:rPr>
          <w:rFonts w:cs="Times New Roman" w:ascii="Times New Roman" w:hAnsi="Times New Roman"/>
          <w:i/>
          <w:iCs/>
        </w:rPr>
        <w:t>in vitro</w:t>
      </w:r>
      <w:r>
        <w:rPr>
          <w:rFonts w:cs="Times New Roman" w:ascii="Times New Roman" w:hAnsi="Times New Roman"/>
        </w:rPr>
        <w:t> viability assay was conducted using auraptene as a representative coumarin. Following its extraction from </w:t>
      </w:r>
      <w:r>
        <w:rPr>
          <w:rFonts w:cs="Times New Roman" w:ascii="Times New Roman" w:hAnsi="Times New Roman"/>
          <w:i/>
          <w:iCs/>
        </w:rPr>
        <w:t>Ferula szowitsiana</w:t>
      </w:r>
      <w:r>
        <w:rPr>
          <w:rFonts w:cs="Times New Roman" w:ascii="Times New Roman" w:hAnsi="Times New Roman"/>
        </w:rPr>
        <w:t> via thin-layer chromatography, a human colon carcinoma cell line, specifically excluded from the dataset, was utilized to assess its effect on cell viability.</w:t>
      </w:r>
    </w:p>
    <w:p>
      <w:pPr>
        <w:pStyle w:val="Normal"/>
        <w:spacing w:before="240" w:after="0"/>
        <w:jc w:val="both"/>
        <w:rPr>
          <w:rFonts w:ascii="Times New Roman" w:hAnsi="Times New Roman" w:cs="Times New Roman"/>
          <w:b/>
        </w:rPr>
      </w:pPr>
      <w:r>
        <w:rPr>
          <w:rFonts w:cs="Times New Roman" w:ascii="Times New Roman" w:hAnsi="Times New Roman"/>
          <w:b/>
        </w:rPr>
        <w:t>2. Methods and materials</w:t>
      </w:r>
    </w:p>
    <w:p>
      <w:pPr>
        <w:pStyle w:val="Normal"/>
        <w:spacing w:before="240" w:after="0"/>
        <w:jc w:val="both"/>
        <w:rPr>
          <w:rFonts w:ascii="Times New Roman" w:hAnsi="Times New Roman" w:cs="Times New Roman"/>
          <w:b/>
          <w:bCs/>
        </w:rPr>
      </w:pPr>
      <w:r>
        <w:rPr>
          <w:rFonts w:cs="Times New Roman" w:ascii="Times New Roman" w:hAnsi="Times New Roman"/>
          <w:b/>
          <w:bCs/>
        </w:rPr>
        <w:t>2.1 Data collection</w:t>
      </w:r>
    </w:p>
    <w:p>
      <w:pPr>
        <w:pStyle w:val="Normal"/>
        <w:spacing w:before="240" w:after="0"/>
        <w:jc w:val="both"/>
        <w:rPr>
          <w:rFonts w:ascii="Times New Roman" w:hAnsi="Times New Roman" w:cs="Times New Roman"/>
        </w:rPr>
      </w:pPr>
      <w:r>
        <w:rPr>
          <w:rFonts w:cs="Times New Roman" w:ascii="Times New Roman" w:hAnsi="Times New Roman"/>
        </w:rPr>
        <w:t xml:space="preserve">To ensure precision and consistency in the findings, a systematic evaluation of in vitro experiments on human cancer cell lines was performed, providing essential quantitative data. Studies investigating the anticancer properties of esculetin, galbanic acid, umbelliprenin, and auraptene were identified through an extensive search across multiple databases, including PubMed, Lens, Semantic Scholar, Dimensions, OpenAlex, and Google Scholar. Following an initial abstract screening to determine eligibility, full-text articles were meticulously reviewed by two independent investigators. Reasons for exclusion—such as studies involving non-human cell lines, non-standardized assessments, or low-quality data presentation—were carefully documented. Key parameters such as cancer type, cell line, coumarin type, dose, and exposure duration were extracted. To ensure accuracy, WebPlotDigitizer </w:t>
      </w:r>
      <w:r>
        <w:fldChar w:fldCharType="begin"/>
      </w:r>
      <w:r>
        <w:rPr>
          <w:rFonts w:cs="Times New Roman" w:ascii="Times New Roman" w:hAnsi="Times New Roman"/>
        </w:rPr>
        <w:instrText xml:space="preserve">ADDIN ZOTERO_ITEM CSL_CITATION {"citationID":"RzP5S4Za","properties":{"formattedCitation":"\\super 29\\nosupersub{}","plainCitation":"29","noteIndex":0},"citationItems":[{"id":786,"uris":["http://zotero.org/users/local/eLmElWd3/items/GT85S9BT"],"itemData":{"id":786,"type":"software","title":"WebPlotDigitizer","URL":"https://automeris.io","version":"5.2","author":[{"family":"Rohatgi","given":"Ankit"}]}}],"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29</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was employed to derive precise cell viability values (mean ± SD) from viability results. </w:t>
      </w:r>
    </w:p>
    <w:p>
      <w:pPr>
        <w:pStyle w:val="Normal"/>
        <w:spacing w:before="240" w:after="0"/>
        <w:jc w:val="both"/>
        <w:rPr>
          <w:rFonts w:ascii="Times New Roman" w:hAnsi="Times New Roman" w:cs="Times New Roman"/>
        </w:rPr>
      </w:pPr>
      <w:r>
        <w:rPr>
          <w:rFonts w:cs="Times New Roman" w:ascii="Times New Roman" w:hAnsi="Times New Roman"/>
          <w:b/>
          <w:bCs/>
        </w:rPr>
        <w:t>2.2. Machine learning</w:t>
      </w:r>
    </w:p>
    <w:p>
      <w:pPr>
        <w:pStyle w:val="NormalWeb"/>
        <w:spacing w:before="280" w:after="280"/>
        <w:rPr>
          <w:highlight w:val="none"/>
          <w:shd w:fill="FFFF00" w:val="clear"/>
        </w:rPr>
      </w:pPr>
      <w:r>
        <w:rPr>
          <w:color w:val="00B050"/>
          <w:sz w:val="22"/>
          <w:szCs w:val="22"/>
          <w:shd w:fill="FFFF00" w:val="clear"/>
        </w:rPr>
        <w:t>A machine-learning pipeline was designed to determine the optimal coumarin dose and exposure time required to reach approximately 50% cell viability across multiple cancer types. The dataset was first loaded and cleaned, followed by strict filtering to retain only biologically valid ranges: doses ≤ 400 µM and compound-specific time windows. Auraptene analyses incorporated 24, 48, 72, and 96 h, whereas Esculetin, Umbelliprenin, and Galbanic Acid were restricted to 24, 48, and 72 h, consistent with experimental time points most frequently associated with 50% viability responses. Cancer type was encoded using LabelEncoder, and the dataset was partitioned by coumarin type to enable independent model construction for each compound. The overall workflow, including data filtering, model training, reliability assessment, and final prediction generation, is summarized in Fig. 2.</w:t>
      </w:r>
    </w:p>
    <w:p>
      <w:pPr>
        <w:pStyle w:val="NormalWeb"/>
        <w:spacing w:before="280" w:after="280"/>
        <w:rPr>
          <w:highlight w:val="none"/>
          <w:shd w:fill="FFFF00" w:val="clear"/>
        </w:rPr>
      </w:pPr>
      <w:r>
        <w:rPr>
          <w:color w:val="00B050"/>
          <w:sz w:val="22"/>
          <w:szCs w:val="22"/>
          <w:shd w:fill="FFFF00" w:val="clear"/>
        </w:rPr>
        <w:t>To capture the heterogeneous and nonlinear behavior of coumarin–cancer interactions, four complementary machine-learning models were used. Cat Boost Regressor provides strong handling of categorical interactions and prevents overfitting through ordered boosting. Hist Gradient Boosting Regressor efficiently models complex feature interactions using histogram-based splits, offering speed and stability on tabular data. Random Forest Regressor contributes robustness by aggregating many decorrelated trees, reducing variance and improving generalization. Finally, the Voting Regressor (combining Cat Boost, XGBoost, and LGBM) integrates diverse gradient-boosting learners to enhance predictive stability and leverage ensemble heterogeneity. Together, these models offer a balanced coverage of nonlinear, high-variance, and categorical effects in the dataset.</w:t>
      </w:r>
    </w:p>
    <w:p>
      <w:pPr>
        <w:pStyle w:val="NormalWeb"/>
        <w:spacing w:before="280" w:after="280"/>
        <w:rPr>
          <w:color w:val="00B050"/>
          <w:sz w:val="22"/>
          <w:szCs w:val="22"/>
        </w:rPr>
      </w:pPr>
      <w:r>
        <w:rPr>
          <w:color w:val="00B050"/>
          <w:sz w:val="22"/>
          <w:szCs w:val="22"/>
          <w:shd w:fill="FFFF00" w:val="clear"/>
        </w:rPr>
        <w:t>For each coumarin subset, prediction reliability was refined using a Gaussian Mixture Model (GMM) to identify high- and low-reliability observations. Four regression models were then trained using five-fold cross-validation with standardized hyperparameters and a fixed random_state = 42: CatBoostRegressor (iterations = 200, depth = 6, learning_rate = 0.1), HistGradientBoostingRegressor (max_iter = 200, max_depth = None, learning_rate = 0.1, min_samples_leaf = 20, max_bins = 255), RandomForestRegressor (n_estimators = 200, max_depth = 20, min_samples_split = 5, min_samples_leaf = 2, max_features = "log2"), and a VotingRegressor integrating CatBoost (n_estimators = 200, depth = 5, learning_rate = 0.1), XGBoost (n_estimators = 200, max_depth = 5, learning_rate = 0.1), and LGBM</w:t>
      </w:r>
      <w:r>
        <w:rPr>
          <w:color w:val="00B050"/>
          <w:sz w:val="22"/>
          <w:szCs w:val="22"/>
        </w:rPr>
        <w:t xml:space="preserve"> (n_estimators = 200, learning_rate = 0.1, max_depth = -1) base learners, each configured with random_state = 42. This compact yet diverse set of models was selected to capture key nonlinear, categorical, and interaction-driven response patterns across compounds.</w:t>
      </w:r>
    </w:p>
    <w:p>
      <w:pPr>
        <w:pStyle w:val="NormalWeb"/>
        <w:spacing w:before="280" w:after="280"/>
        <w:rPr>
          <w:color w:val="00B050"/>
          <w:sz w:val="22"/>
          <w:szCs w:val="22"/>
        </w:rPr>
      </w:pPr>
      <w:r>
        <w:rPr>
          <w:color w:val="00B050"/>
          <w:sz w:val="22"/>
          <w:szCs w:val="22"/>
        </w:rPr>
        <w:t>Predictions for all candidate dose–time combinations were aggregated using a Weighted Median approach, where each model’s cross-validated R² score defined its contribution to the final estimate. This weighting strategy increased robustness by amplifying the influence of consistently high-performing models while limiting the impact of unstable or extreme predictions. For each coumarin and cancer type, the Weighted Median Dose and Weighted Median Time values closest to a viability of 50% were computed, forming the final recommended treatment parameters. This integrated, multi-model, reliability-aware framework produced stable, biologically interpretable predictions across all coumarin–cancer combinations.</w:t>
      </w:r>
    </w:p>
    <w:p>
      <w:pPr>
        <w:pStyle w:val="Normal"/>
        <w:spacing w:before="240" w:after="0"/>
        <w:jc w:val="both"/>
        <w:rPr>
          <w:rFonts w:ascii="Times New Roman" w:hAnsi="Times New Roman" w:cs="Times New Roman"/>
        </w:rPr>
      </w:pPr>
      <w:r>
        <w:rPr>
          <w:rFonts w:cs="Times New Roman" w:ascii="Times New Roman" w:hAnsi="Times New Roman"/>
        </w:rPr>
        <w:t>For ML evaluation and report, regression metric formulas were rendered using LaTeX. Table 1 summarizing key regression metrics, including Mean Squared Error (MSE), Mean Absolute Error (MAE), Median Absolute Error (MedAE), and R-squared (R²). Each metric provides different insights, as MSE penalizes larger errors more heavily, making it useful when large deviations from predictions are particularly undesirable. MAE, on the other hand, measures the average magnitude of errors in a more straightforward manner, treating all deviations equally, which is ideal for datasets with minimal outlier influence. MedAE captures the median of the absolute errors, offering robustness against outliers and providing a central tendency measure for prediction errors. The coefficient of determination (R²) quantifies the proportion of variance in the dependent variable that is explained by the model, providing an intuitive measure of model fit. It ranges from 0 to 1, where higher values indicate better explanatory power. An R² value of 1 signifies that the model accounts for all variability in the data, whereas an R² of 0 implies that the model performs no better than simply predicting the mean of the observed values. Mathematically, R² is defined as: R</w:t>
      </w:r>
      <w:r>
        <w:rPr>
          <w:rFonts w:cs="Times New Roman" w:ascii="Times New Roman" w:hAnsi="Times New Roman"/>
          <w:vertAlign w:val="superscript"/>
        </w:rPr>
        <w:t>2</w:t>
      </w:r>
      <w:r>
        <w:rPr>
          <w:rFonts w:cs="Times New Roman" w:ascii="Times New Roman" w:hAnsi="Times New Roman"/>
        </w:rPr>
        <w:t>= 1 ˗ SS</w:t>
      </w:r>
      <w:r>
        <w:rPr>
          <w:rFonts w:cs="Times New Roman" w:ascii="Times New Roman" w:hAnsi="Times New Roman"/>
          <w:vertAlign w:val="subscript"/>
        </w:rPr>
        <w:t>res</w:t>
      </w:r>
      <w:r>
        <w:rPr>
          <w:rFonts w:cs="Times New Roman" w:ascii="Times New Roman" w:hAnsi="Times New Roman"/>
        </w:rPr>
        <w:t>/SS</w:t>
      </w:r>
      <w:r>
        <w:rPr>
          <w:rFonts w:cs="Times New Roman" w:ascii="Times New Roman" w:hAnsi="Times New Roman"/>
          <w:vertAlign w:val="subscript"/>
        </w:rPr>
        <w:t>tot</w:t>
      </w:r>
      <w:r>
        <w:rPr>
          <w:rFonts w:cs="Times New Roman" w:ascii="Times New Roman" w:hAnsi="Times New Roman"/>
        </w:rPr>
        <w:t>, where SS</w:t>
      </w:r>
      <w:r>
        <w:rPr>
          <w:rFonts w:cs="Times New Roman" w:ascii="Times New Roman" w:hAnsi="Times New Roman"/>
          <w:vertAlign w:val="subscript"/>
        </w:rPr>
        <w:t>res</w:t>
      </w:r>
      <w:r>
        <w:rPr>
          <w:rFonts w:cs="Times New Roman" w:ascii="Times New Roman" w:hAnsi="Times New Roman"/>
        </w:rPr>
        <w:t xml:space="preserve"> represents the residual sum of squares, and SS</w:t>
      </w:r>
      <w:r>
        <w:rPr>
          <w:rFonts w:cs="Times New Roman" w:ascii="Times New Roman" w:hAnsi="Times New Roman"/>
          <w:vertAlign w:val="subscript"/>
        </w:rPr>
        <w:t>tot</w:t>
      </w:r>
      <w:r>
        <w:rPr>
          <w:rFonts w:cs="Times New Roman" w:ascii="Times New Roman" w:hAnsi="Times New Roman"/>
        </w:rPr>
        <w:t xml:space="preserve"> denotes the total sum of squares.</w:t>
      </w:r>
    </w:p>
    <w:p>
      <w:pPr>
        <w:pStyle w:val="NormalWeb"/>
        <w:spacing w:before="280" w:after="280"/>
        <w:rPr>
          <w:color w:val="00B050"/>
          <w:sz w:val="22"/>
          <w:szCs w:val="22"/>
        </w:rPr>
      </w:pPr>
      <w:r>
        <w:rPr>
          <w:color w:val="00B050"/>
          <w:sz w:val="22"/>
          <w:szCs w:val="22"/>
        </w:rPr>
        <w:t xml:space="preserve">After model tuning, the final configuration was trained on the processed dataset and reached stable, reliable performance. The model setup was archived for future use by saving it as a serialized .pkl file. To determine the optimal dose and time that yield a viability of 50% (IC50), a structured search procedure was implemented using a linearly spaced grid for dose and predefined time points. </w:t>
      </w:r>
    </w:p>
    <w:p>
      <w:pPr>
        <w:pStyle w:val="NormalWeb"/>
        <w:spacing w:before="280" w:after="280"/>
        <w:rPr>
          <w:color w:val="00B050"/>
          <w:sz w:val="22"/>
          <w:szCs w:val="22"/>
        </w:rPr>
      </w:pPr>
      <w:r>
        <w:rPr>
          <w:color w:val="00B050"/>
          <w:sz w:val="22"/>
          <w:szCs w:val="22"/>
        </w:rPr>
        <w:t>A dose range of 0–400 µM and targeted time intervals were used. For Esculetin, Galbanic acid, and Umbelliprenin, the selected time points were 24, 48, and 72 hours. For Auraptene, the analysis additionally included 96 hours, supported by sufficient data variability across dose levels and cancer types within the dataset. This extension improved the model’s predictive behavior specifically for Auraptene; the same benefit did not generalize to the other coumarins because their 96-hour measurements lacked enough variation to support consistent model learning. These time points were chosen based on empirical patterns observed in the dataset: most samples that approached a viability of 50% occurred at these intervals. Restricting the analysis to these well-supported time points enhanced model stability and accuracy, ensuring that predictions were made within regions of the dataset that contained meaningful, reliable biological variation. This strategy allowed for precise estimation of optimal dose–time combinations and improved overall model performance.</w:t>
      </w:r>
    </w:p>
    <w:p>
      <w:pPr>
        <w:pStyle w:val="Normal"/>
        <w:spacing w:before="240" w:after="0"/>
        <w:jc w:val="both"/>
        <w:rPr>
          <w:rFonts w:ascii="Times New Roman" w:hAnsi="Times New Roman" w:cs="Times New Roman"/>
          <w:b/>
          <w:bCs/>
        </w:rPr>
      </w:pPr>
      <w:r>
        <w:rPr>
          <w:rFonts w:cs="Times New Roman" w:ascii="Times New Roman" w:hAnsi="Times New Roman"/>
          <w:b/>
          <w:bCs/>
        </w:rPr>
        <w:t>2.3. Data visualization</w:t>
      </w:r>
    </w:p>
    <w:p>
      <w:pPr>
        <w:pStyle w:val="Normal"/>
        <w:spacing w:before="240" w:after="0"/>
        <w:jc w:val="both"/>
        <w:rPr>
          <w:rFonts w:ascii="Times New Roman" w:hAnsi="Times New Roman" w:cs="Times New Roman"/>
        </w:rPr>
      </w:pPr>
      <w:r>
        <w:rPr>
          <w:rFonts w:cs="Times New Roman" w:ascii="Times New Roman" w:hAnsi="Times New Roman"/>
        </w:rPr>
        <w:t xml:space="preserve">In order to comprehensively present and analyze the results, a variety of data visualization methods were employed, leveraging the Matplotlib and Seaborn and adjustText libraries. A tree map was generated to categorize and illustrate the distribution of cancer and coumarin types, providing a clear overview of the dataset composition. </w:t>
      </w:r>
    </w:p>
    <w:p>
      <w:pPr>
        <w:pStyle w:val="Normal"/>
        <w:spacing w:before="240" w:after="0"/>
        <w:jc w:val="both"/>
        <w:rPr>
          <w:rFonts w:ascii="Times New Roman" w:hAnsi="Times New Roman" w:cs="Times New Roman"/>
        </w:rPr>
      </w:pPr>
      <w:r>
        <w:rPr>
          <w:rFonts w:cs="Times New Roman" w:ascii="Times New Roman" w:hAnsi="Times New Roman"/>
        </w:rPr>
        <w:t>The contribution of individual features to the ML models was highlighted through the use of bar plots, which allowed for the identification of key determinants influencing viability predictions. A flowchart, created using the Graphviz library, was utilized to visually represent the workflow of the viability prediction model, ensuring transparency in the methodology. Bubble plots were utilized to explore the relationships between dose, exposure time, and viability for each coumarin type. Bubble size and color were mapped to viability levels, enabling visualization of the interplay between these factors. To examine time-dependent effects, individual figures were generated for each coumarin type, illustrating the relationship between viability and dose at specific time points. This approach facilitated a detailed analysis of the temporal dynamics of coumarin effects on cell viability.</w:t>
      </w:r>
    </w:p>
    <w:p>
      <w:pPr>
        <w:pStyle w:val="Normal"/>
        <w:spacing w:before="240" w:after="0"/>
        <w:jc w:val="both"/>
        <w:rPr>
          <w:rFonts w:ascii="Times New Roman" w:hAnsi="Times New Roman" w:cs="Times New Roman"/>
          <w:b/>
        </w:rPr>
      </w:pPr>
      <w:r>
        <w:rPr>
          <w:rFonts w:cs="Times New Roman" w:ascii="Times New Roman" w:hAnsi="Times New Roman"/>
          <w:b/>
        </w:rPr>
        <w:t>2.4. Validation of ML predications</w:t>
      </w:r>
    </w:p>
    <w:p>
      <w:pPr>
        <w:pStyle w:val="Normal"/>
        <w:spacing w:before="240" w:after="0"/>
        <w:jc w:val="both"/>
        <w:rPr>
          <w:rFonts w:ascii="Times New Roman" w:hAnsi="Times New Roman" w:cs="Times New Roman"/>
          <w:b/>
        </w:rPr>
      </w:pPr>
      <w:r>
        <w:rPr>
          <w:rFonts w:cs="Times New Roman" w:ascii="Times New Roman" w:hAnsi="Times New Roman"/>
          <w:b/>
        </w:rPr>
        <w:t>2.4.1. Extraction of auraptene</w:t>
      </w:r>
    </w:p>
    <w:p>
      <w:pPr>
        <w:pStyle w:val="Normal"/>
        <w:spacing w:before="240" w:after="0"/>
        <w:jc w:val="both"/>
        <w:rPr>
          <w:rFonts w:ascii="Times New Roman" w:hAnsi="Times New Roman" w:cs="Times New Roman"/>
          <w:bCs/>
        </w:rPr>
      </w:pPr>
      <w:r>
        <w:rPr>
          <w:rFonts w:cs="Times New Roman" w:ascii="Times New Roman" w:hAnsi="Times New Roman"/>
          <w:bCs/>
        </w:rPr>
        <w:t>Auraptene (MW: 298.3 g/mol) was obtained from the roots of </w:t>
      </w:r>
      <w:r>
        <w:rPr>
          <w:rFonts w:cs="Times New Roman" w:ascii="Times New Roman" w:hAnsi="Times New Roman"/>
          <w:bCs/>
          <w:i/>
          <w:iCs/>
        </w:rPr>
        <w:t>Ferula szowitsiana</w:t>
      </w:r>
      <w:r>
        <w:rPr>
          <w:rFonts w:cs="Times New Roman" w:ascii="Times New Roman" w:hAnsi="Times New Roman"/>
          <w:bCs/>
        </w:rPr>
        <w:t>, which was collected from the mountains of Golestan Forest (coordinates: 37°15'N, 55°10'E) with the necessary permissions from local authorities.</w:t>
      </w:r>
      <w:r>
        <w:rPr>
          <w:rFonts w:cs="Times New Roman" w:ascii="Times New Roman" w:hAnsi="Times New Roman"/>
        </w:rPr>
        <w:t xml:space="preserve"> </w:t>
      </w:r>
      <w:r>
        <w:rPr>
          <w:rFonts w:cs="Times New Roman" w:ascii="Times New Roman" w:hAnsi="Times New Roman"/>
          <w:bCs/>
        </w:rPr>
        <w:t xml:space="preserve">The collection and experimental procedures complied with all relevant institutional, national, and international guidelines and legislation, including adherence to the IUCN Policy Statement on Research Involving Species at Risk of Extinction and the Convention on the Trade in Endangered Species of Wild Fauna and Flora (CITES). The plant material was formally identified by Dr. Mitra Soozani, a botanical expert at the Faculty of Pharmacy, Mashhad University of Medical Sciences (MUMS), to ensure the accuracy of the species. A voucher specimen of the roots (No. M1001) was deposited at the Department of Pharmacognosy and Biotechnology, Faculty of Pharmacy, MUMS, Iran. </w:t>
      </w:r>
    </w:p>
    <w:p>
      <w:pPr>
        <w:pStyle w:val="Normal"/>
        <w:spacing w:before="240" w:after="0"/>
        <w:jc w:val="both"/>
        <w:rPr>
          <w:rFonts w:ascii="Times New Roman" w:hAnsi="Times New Roman" w:cs="Times New Roman"/>
          <w:bCs/>
        </w:rPr>
      </w:pPr>
      <w:r>
        <w:rPr>
          <w:rFonts w:cs="Times New Roman" w:ascii="Times New Roman" w:hAnsi="Times New Roman"/>
          <w:bCs/>
          <w:highlight w:val="yellow"/>
        </w:rPr>
        <w:t xml:space="preserve">A series of processes where conducted for auraptene extraction. Briefly, air-dried and pulverized roots were subjected to repeated maceration in acetone (Merck) over 48 h to maximize solute recovery. The combined acetone extracts were then concentrated via rotary evaporation under reduced pressure, yielding a viscous residue. This residue underwent fractionation by silica gel column chromatography (5 × 50 cm). A gradient elution, employing increasing concentrations of acetone in petroleum ether, was used to elute compounds. The resulting fractions were analyzed by thin layer chromatography (TLC) on silica gel (Merck), with petroleum ether-ethyl acetate as the mobile phase, and visualized under UV light at 254 nm to identify compounds present in the separated fractions. Selected fractions underwent preparative TLC to isolate auraptene. Finally, </w:t>
      </w:r>
      <w:r>
        <w:rPr>
          <w:rFonts w:cs="Times New Roman" w:ascii="Times New Roman" w:hAnsi="Times New Roman"/>
          <w:bCs/>
          <w:highlight w:val="yellow"/>
          <w:vertAlign w:val="superscript"/>
        </w:rPr>
        <w:t>1</w:t>
      </w:r>
      <w:r>
        <w:rPr>
          <w:rFonts w:cs="Times New Roman" w:ascii="Times New Roman" w:hAnsi="Times New Roman"/>
          <w:bCs/>
          <w:highlight w:val="yellow"/>
        </w:rPr>
        <w:t xml:space="preserve">H and </w:t>
      </w:r>
      <w:r>
        <w:rPr>
          <w:rFonts w:cs="Times New Roman" w:ascii="Times New Roman" w:hAnsi="Times New Roman"/>
          <w:bCs/>
          <w:highlight w:val="yellow"/>
          <w:vertAlign w:val="superscript"/>
        </w:rPr>
        <w:t>13</w:t>
      </w:r>
      <w:r>
        <w:rPr>
          <w:rFonts w:cs="Times New Roman" w:ascii="Times New Roman" w:hAnsi="Times New Roman"/>
          <w:bCs/>
          <w:highlight w:val="yellow"/>
        </w:rPr>
        <w:t>C nuclear magnetic resonance (NMR) were used to confirm the structure of the isolated auraptene, and conventional spectroscopy was applied to define its purity.</w:t>
      </w:r>
      <w:r>
        <w:rPr>
          <w:rFonts w:cs="Times New Roman" w:ascii="Times New Roman" w:hAnsi="Times New Roman"/>
          <w:bCs/>
        </w:rPr>
        <w:t xml:space="preserve"> </w:t>
      </w:r>
    </w:p>
    <w:p>
      <w:pPr>
        <w:pStyle w:val="Normal"/>
        <w:spacing w:before="240" w:after="0"/>
        <w:jc w:val="both"/>
        <w:rPr>
          <w:rFonts w:ascii="Times New Roman" w:hAnsi="Times New Roman" w:cs="Times New Roman"/>
          <w:b/>
        </w:rPr>
      </w:pPr>
      <w:r>
        <w:rPr>
          <w:rFonts w:cs="Times New Roman" w:ascii="Times New Roman" w:hAnsi="Times New Roman"/>
          <w:b/>
        </w:rPr>
        <w:t>2.4.2. Cell culture and viability assay</w:t>
      </w:r>
    </w:p>
    <w:p>
      <w:pPr>
        <w:pStyle w:val="Normal"/>
        <w:spacing w:before="240" w:after="0"/>
        <w:jc w:val="both"/>
        <w:rPr>
          <w:rFonts w:ascii="Times New Roman" w:hAnsi="Times New Roman" w:cs="Times New Roman"/>
          <w:bCs/>
          <w:lang w:val="en-US"/>
        </w:rPr>
      </w:pPr>
      <w:r>
        <w:rPr>
          <w:rFonts w:cs="Times New Roman" w:ascii="Times New Roman" w:hAnsi="Times New Roman"/>
          <w:bCs/>
          <w:lang w:val="en-US"/>
        </w:rPr>
        <w:t>Human colon carcinoma cells, LoVo cell line, were sourced from the Pasteur Institute in Tehran, Iran. The cells were cultured in either Roswell Park Memorial Institute-1640 medium (Gibco), supplemented with 10% fetal bovine serum (Gibco) and 1% penicillin-streptomycin (Bioldea). Cultures were maintained in a controlled environment at 37°C with 5% CO</w:t>
      </w:r>
      <w:r>
        <w:rPr>
          <w:rFonts w:cs="Times New Roman" w:ascii="Times New Roman" w:hAnsi="Times New Roman"/>
          <w:bCs/>
          <w:vertAlign w:val="subscript"/>
          <w:lang w:val="en-US"/>
        </w:rPr>
        <w:t>2</w:t>
      </w:r>
      <w:r>
        <w:rPr>
          <w:rFonts w:cs="Times New Roman" w:ascii="Times New Roman" w:hAnsi="Times New Roman"/>
          <w:bCs/>
          <w:lang w:val="en-US"/>
        </w:rPr>
        <w:t>.</w:t>
      </w:r>
    </w:p>
    <w:p>
      <w:pPr>
        <w:pStyle w:val="Normal"/>
        <w:spacing w:before="240" w:after="0"/>
        <w:jc w:val="both"/>
        <w:rPr>
          <w:rFonts w:ascii="Times New Roman" w:hAnsi="Times New Roman" w:cs="Times New Roman"/>
          <w:bCs/>
          <w:lang w:val="en-US"/>
        </w:rPr>
      </w:pPr>
      <w:r>
        <w:rPr>
          <w:rFonts w:cs="Times New Roman" w:ascii="Times New Roman" w:hAnsi="Times New Roman"/>
          <w:bCs/>
          <w:lang w:val="en-US"/>
        </w:rPr>
        <w:t>To assess the cytotoxicity of auraptene, the crystalline powder was dissolved in dimethyl sulfoxide (DMSO) to prepare stock solutions, and final doses were prepared by complete medium just before use.  The cells were treated with 25, 50, and 100 µM auraptene for 24, 48, and 72 h, and then</w:t>
      </w:r>
      <w:r>
        <w:rPr>
          <w:rFonts w:cs="Times New Roman" w:ascii="Times New Roman" w:hAnsi="Times New Roman"/>
          <w:sz w:val="45"/>
          <w:szCs w:val="45"/>
        </w:rPr>
        <w:t xml:space="preserve"> </w:t>
      </w:r>
      <w:r>
        <w:rPr>
          <w:rFonts w:cs="Times New Roman" w:ascii="Times New Roman" w:hAnsi="Times New Roman"/>
          <w:bCs/>
        </w:rPr>
        <w:t xml:space="preserve">assessed for viability by alamarBlue (Sigma). To do so, alamarBlue reagent (0.1 mg/ml) was added and cells were incubated at 37°C for 2 h. </w:t>
      </w:r>
      <w:r>
        <w:rPr>
          <w:rFonts w:cs="Times New Roman" w:ascii="Times New Roman" w:hAnsi="Times New Roman"/>
          <w:bCs/>
          <w:lang w:val="en-US"/>
        </w:rPr>
        <w:t>Subsequently, the optical density (OD) was recorded at 600 nm and cell viability (%) was calculated as follows: 100 ‒ (T</w:t>
      </w:r>
      <w:r>
        <w:rPr>
          <w:rFonts w:cs="Times New Roman" w:ascii="Times New Roman" w:hAnsi="Times New Roman"/>
          <w:bCs/>
          <w:vertAlign w:val="subscript"/>
          <w:lang w:val="en-US"/>
        </w:rPr>
        <w:t>OD</w:t>
      </w:r>
      <w:r>
        <w:rPr>
          <w:rFonts w:cs="Times New Roman" w:ascii="Times New Roman" w:hAnsi="Times New Roman"/>
          <w:bCs/>
          <w:lang w:val="en-US"/>
        </w:rPr>
        <w:t xml:space="preserve"> ‒ U</w:t>
      </w:r>
      <w:r>
        <w:rPr>
          <w:rFonts w:cs="Times New Roman" w:ascii="Times New Roman" w:hAnsi="Times New Roman"/>
          <w:bCs/>
          <w:vertAlign w:val="subscript"/>
          <w:lang w:val="en-US"/>
        </w:rPr>
        <w:t>OD</w:t>
      </w:r>
      <w:r>
        <w:rPr>
          <w:rFonts w:cs="Times New Roman" w:ascii="Times New Roman" w:hAnsi="Times New Roman"/>
          <w:bCs/>
          <w:lang w:val="en-US"/>
        </w:rPr>
        <w:t>)/ (B</w:t>
      </w:r>
      <w:r>
        <w:rPr>
          <w:rFonts w:cs="Times New Roman" w:ascii="Times New Roman" w:hAnsi="Times New Roman"/>
          <w:bCs/>
          <w:vertAlign w:val="subscript"/>
          <w:lang w:val="en-US"/>
        </w:rPr>
        <w:t>OD</w:t>
      </w:r>
      <w:r>
        <w:rPr>
          <w:rFonts w:cs="Times New Roman" w:ascii="Times New Roman" w:hAnsi="Times New Roman"/>
          <w:bCs/>
          <w:lang w:val="en-US"/>
        </w:rPr>
        <w:t xml:space="preserve"> ‒ U</w:t>
      </w:r>
      <w:r>
        <w:rPr>
          <w:rFonts w:cs="Times New Roman" w:ascii="Times New Roman" w:hAnsi="Times New Roman"/>
          <w:bCs/>
          <w:vertAlign w:val="subscript"/>
          <w:lang w:val="en-US"/>
        </w:rPr>
        <w:t>OD</w:t>
      </w:r>
      <w:r>
        <w:rPr>
          <w:rFonts w:cs="Times New Roman" w:ascii="Times New Roman" w:hAnsi="Times New Roman"/>
          <w:bCs/>
          <w:lang w:val="en-US"/>
        </w:rPr>
        <w:t>) × 100, in which T</w:t>
      </w:r>
      <w:r>
        <w:rPr>
          <w:rFonts w:cs="Times New Roman" w:ascii="Times New Roman" w:hAnsi="Times New Roman"/>
          <w:bCs/>
          <w:vertAlign w:val="subscript"/>
          <w:lang w:val="en-US"/>
        </w:rPr>
        <w:t>OD</w:t>
      </w:r>
      <w:r>
        <w:rPr>
          <w:rFonts w:cs="Times New Roman" w:ascii="Times New Roman" w:hAnsi="Times New Roman"/>
          <w:bCs/>
          <w:lang w:val="en-US"/>
        </w:rPr>
        <w:t>, U</w:t>
      </w:r>
      <w:r>
        <w:rPr>
          <w:rFonts w:cs="Times New Roman" w:ascii="Times New Roman" w:hAnsi="Times New Roman"/>
          <w:bCs/>
          <w:vertAlign w:val="subscript"/>
          <w:lang w:val="en-US"/>
        </w:rPr>
        <w:t>OD</w:t>
      </w:r>
      <w:r>
        <w:rPr>
          <w:rFonts w:cs="Times New Roman" w:ascii="Times New Roman" w:hAnsi="Times New Roman"/>
          <w:bCs/>
          <w:lang w:val="en-US"/>
        </w:rPr>
        <w:t>, and B</w:t>
      </w:r>
      <w:r>
        <w:rPr>
          <w:rFonts w:cs="Times New Roman" w:ascii="Times New Roman" w:hAnsi="Times New Roman"/>
          <w:bCs/>
          <w:vertAlign w:val="subscript"/>
          <w:lang w:val="en-US"/>
        </w:rPr>
        <w:t>OD</w:t>
      </w:r>
      <w:r>
        <w:rPr>
          <w:rFonts w:cs="Times New Roman" w:ascii="Times New Roman" w:hAnsi="Times New Roman"/>
          <w:bCs/>
          <w:lang w:val="en-US"/>
        </w:rPr>
        <w:t xml:space="preserve"> were OD of treated cells, untreated cells and blank control, respectively. Finally, the IC</w:t>
      </w:r>
      <w:r>
        <w:rPr>
          <w:rFonts w:cs="Times New Roman" w:ascii="Times New Roman" w:hAnsi="Times New Roman"/>
          <w:bCs/>
          <w:vertAlign w:val="subscript"/>
          <w:lang w:val="en-US"/>
        </w:rPr>
        <w:t>50</w:t>
      </w:r>
      <w:r>
        <w:rPr>
          <w:rFonts w:cs="Times New Roman" w:ascii="Times New Roman" w:hAnsi="Times New Roman"/>
          <w:bCs/>
          <w:lang w:val="en-US"/>
        </w:rPr>
        <w:t xml:space="preserve"> value was calculated using OriginLab software.</w:t>
      </w:r>
    </w:p>
    <w:p>
      <w:pPr>
        <w:pStyle w:val="Normal"/>
        <w:spacing w:before="240" w:after="0"/>
        <w:jc w:val="both"/>
        <w:rPr>
          <w:rFonts w:ascii="Times New Roman" w:hAnsi="Times New Roman" w:cs="Times New Roman"/>
          <w:b/>
        </w:rPr>
      </w:pPr>
      <w:r>
        <w:rPr>
          <w:rFonts w:cs="Times New Roman" w:ascii="Times New Roman" w:hAnsi="Times New Roman"/>
          <w:b/>
        </w:rPr>
        <w:t>3. Results</w:t>
      </w:r>
    </w:p>
    <w:p>
      <w:pPr>
        <w:pStyle w:val="Normal"/>
        <w:spacing w:before="240" w:after="0"/>
        <w:jc w:val="both"/>
        <w:rPr>
          <w:rFonts w:ascii="Times New Roman" w:hAnsi="Times New Roman" w:cs="Times New Roman"/>
          <w:b/>
          <w:bCs/>
        </w:rPr>
      </w:pPr>
      <w:r>
        <w:rPr>
          <w:rFonts w:cs="Times New Roman" w:ascii="Times New Roman" w:hAnsi="Times New Roman"/>
        </w:rPr>
        <w:t xml:space="preserve">Following database searching and full-text screening, 64 research publications containing adequate quantitative viability data on human cancer cell lines and four natural coumarins – esculetin, galbanic acid, umbelliprenin, and auraptene – were identified. After filtering and subsequent data extraction, a total of 1044 data points were included within the dataset. Main points extracted from each included research publication are compiled in Table S1 </w:t>
      </w:r>
      <w:r>
        <w:fldChar w:fldCharType="begin"/>
      </w:r>
      <w:r>
        <w:rPr>
          <w:rFonts w:cs="Times New Roman" w:ascii="Times New Roman" w:hAnsi="Times New Roman"/>
        </w:rPr>
        <w:instrText xml:space="preserve">ADDIN ZOTERO_ITEM CSL_CITATION {"citationID":"zQulAb7X","properties":{"formattedCitation":"\\super 14,16\\uc0\\u8211{}18,21,24,30\\uc0\\u8211{}61,61\\uc0\\u8211{}86\\nosupersub{}","plainCitation":"14,16–18,21,24,30–61,61–86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family":"Karimi","given":"Ehsan"},{"family":"Oskoueian","given":"Ehsan"},{"family":"Iranshahi","given":"Mehrdad"},{"family":"Neamati","given":"Ali"}],"issued":{"date-parts":[["2019",11]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family":"Ghows","given":"Narjes"},{"family":"Tayarani-Najaran","given":"Zahra"},{"family":"Iranshahi","given":"Mehrdad"}],"issued":{"date-parts":[["2019",1]]}}},{"id":500,"uris":["http://zotero.org/users/local/eLmElWd3/items/PXHBWLPS"],"itemData":{"id":500,"type":"article-journal","abstract":"Abstract\n            \n              Background\n              \n                Umbelliprenin is a sesquiterpene coumarin isolated from\n                Artemisia absinthium\n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Gholamali"},{"family":"Ghafghazi","given":"Shiva"},{"family":"Ziai","given":"Seyed Ali"}],"accessed":{"date-parts":[["2024",11,29]]},"issued":{"date-parts":[["2022",4]]}}},{"id":601,"uris":["http://zotero.org/users/local/eLmElWd3/items/BKV44D9Z"],"itemData":{"id":601,"type":"article-journal","abstract":"Adult T-cell leukemia/lymphoma (ATL) is an aggressive malignancy with poor survival rates. The efficacy of radiotherapy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Reza"},{"family":"Rafatpanah","given":"Houshang"},{"family":"Iranshahi","given":"Mehrdad"},{"family":"Rassouli","given":"Fatemeh B"}],"issued":{"date-parts":[["2024",1]]}}},{"id":658,"uris":["http://zotero.org/users/local/eLmElWd3/items/FC9AFPK9"],"itemData":{"id":658,"type":"article-journal","abstract":"Approximately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ly":"Campos-Valenzuela","given":"Alondra"},{"family":"Díaz-Molina","given":"Raúl"},{"family":"Muñiz-Salazar","given":"Raquel"},{"family":"Galindo-Hernández","given":"Octavio"},{"family":"García-González","given":"Victor"}],"issued":{"date-parts":[["2024",9,6]]}}},{"id":823,"uris":["http://zotero.org/users/local/eLmElWd3/items/TU9QKXEA"],"itemData":{"id":823,"type":"article-journal","container-title":"Naunyn-Schmiedeberg's Archives of Pharmacology","DOI":"10.1007/s00210-025-03847-z","ISSN":"0028-1298, 1432-1912","issue":"8","journalAbbreviation":"Naunyn-Schmiedeberg's Arch Pharmacol","language":"en","page":"10139-10153","source":"DOI.org (Crossref)","title":"7-Geranyloxycoumarin modulated metastatic potential of osteosarcoma cells via interaction with MMPs and JAK1/2","volume":"398","author":[{"family":"Hosseini","given":"Fatemehsadat"},{"family":"Ahmadi","given":"Abdolreza"},{"family":"Sarvi","given":"Zahra Nasiri"},{"family":"Iranshahi","given":"Mehrdad"},{"family":"Rassouli","given":"Fatemeh B."}],"issued":{"date-parts":[["2025",8]]}}},{"id":824,"uris":["http://zotero.org/users/local/eLmElWd3/items/ZRBXMPQZ"],"itemData":{"id":824,"type":"article-journal","container-title":"Naunyn-Schmiedeberg's Archives of Pharmacology","DOI":"10.1007/s00210-025-04128-5","ISSN":"0028-1298, 1432-1912","issue":"9","journalAbbreviation":"Naunyn-Schmiedeberg's Arch Pharmacol","language":"en","page":"12633-12646","source":"DOI.org (Crossref)","title":"Harnessing the metastatic potential of human osteosarcoma cells by natural coumarin galbanic acid","volume":"398","author":[{"family":"Ahmadi","given":"Abdolreza"},{"family":"Hosseini","given":"Fatemehsadat"},{"family":"Sarvi","given":"Zahra Nasiri"},{"family":"Iranshahi","given":"Mehrdad"},{"family":"Rassouli","given":"Fatemeh B."}],"issued":{"date-parts":[["2025",9]]}}},{"id":683,"uris":["http://zotero.org/users/local/eLmElWd3/items/EE9S3YAV"],"itemData":{"id":683,"type":"article-journal","abstract":"Abstract\n            \n              Background\n              \n                Ferula\n                species are reputed in folk medicine for the treatment of a variety of disorders. There have been sporadic reports on the chemopreventive and chemosensitizing activities of some terpenoid coumarin derivatives from the genus\n                Ferula\n                . The present study investigated the cytotoxic activity of 11 phytochemicals (conferone, farnesiferol A, acantrifoside E, mogoltadone, diversin, galbanic acid, herniarin, 7-isopentenyloxycoumarin, umbelliprenin, stylosin and tschimgine) from\n                Ferula\n                species together with a newly synthesized prenylated derivative of curcumin (gercumin II).\n              \n            \n            \n              Methods\n              Cytotoxic activity of phytochemicals was evaluated against ovarian carcinoma (CH1), lung cancer (A549) and melanoma (SK-MEL-28) cell lines using MTT assay.\n            \n            \n              Results and conclusion\n              \n                Overall, moderate cytotoxic activity was observed from the tested compounds with IC\n                50\n                values in the micromolar range. The highest activity against CH1 and A549 lines was from conferone while stylosin and tschimgine were the most potent compounds against SK-MEL-28 line. In conclusion, the findings of the present investigation did not support a potent cytotoxic activity of the tested phytochemicals against CH1, A549 and SK-MEL-28 cell lines. With respect to previous reports, the beneficial impact of these phytochemicals in cancer therapy may be more attributable to their chemopreventive or chemosensitizing activity rather than direct cytotoxic effects.","container-title":"DARU Journal of Pharmaceutical Sciences","DOI":"10.1186/2008-2231-21-39","ISSN":"2008-2231","issue":"1","journalAbbreviation":"DARU J Pharm Sci","language":"en","page":"39","source":"DOI.org (Crossref)","title":"Cytotoxic activities of phytochemicals from Ferula species","volume":"21","author":[{"family":"Valiahdi","given":"Seied Mojtaba"},{"family":"Iranshahi","given":"Mehrdad"},{"family":"Sahebkar","given":"Amirhossein"}],"issued":{"date-parts":[["2013",12]]}}},{"id":624,"uris":["http://zotero.org/users/local/eLmElWd3/items/AIS4KJFG"],"itemData":{"id":624,"type":"article-journal","container-title":"Molecular Biology Reports","DOI":"10.1007/s11033-023-08439-9","ISSN":"0301-4851, 1573-4978","issue":"7","journalAbbreviation":"Mol Biol Rep","language":"en","page":"5709-5717","source":"DOI.org (Crossref)","title":"7-Geranyloxcycoumarin enhances radio sensitivity in human prostate cancer cells","volume":"50","author":[{"family":"Abolhassani","given":"Yasaman"},{"family":"Mirzaei","given":"Sara"},{"family":"Nejabat","given":"Masoud"},{"family":"Talebian","given":"Seyedehsaba"},{"family":"Gholamhosseinian","given":"Hamid"},{"family":"Iranshahi","given":"Mehrdad"},{"family":"Rassouli","given":"Fatemeh B."},{"family":"Jamialahmadi","given":"Khadijeh"}],"issued":{"date-parts":[["2023",7]]}}},{"id":642,"uris":["http://zotero.org/users/local/eLmElWd3/items/7ZAFDRDH"],"itemData":{"id":642,"type":"article-journal","abstract":"To isolate pharmacologically safe compounds that can induce apoptosis of tumor cells, leaves of an aromatic plant (Zanthoxylum schinifolium), which are widely used as a food flavor and herbal medicine in Korea and Japan, were sequentially extracted by organic solvents. An apoptogenic ingredient in the methylene chloride extract was further purified by silica gel column chromatography and identified as auraptene (AUR). The IC(50) value of AUR against Jurkat T cells was 16.5 microg/ml. After the treatment of Jurkat T cells with AUR, the endoplasmic reticulum (ER) stress-mediated activation of caspase-12 and -8 and subsequent apoptotic events including c-Jun N-terminal kinase (JNK) activation, cleavage of FLICE inhibitory protein and Bid, mitochondrial cytochrome c release, activation of caspase-9 and -3, degradation of poly (ADP-ribose) polymerase and apoptotic DNA fragmentation were induced in a dose-dependent manner. The cytotoxicity of AUR was not blocked by the anti-Fas neutralizing antibody ZB-4. The AUR-induced cytotoxicity and apoptotic events were abrogated by ectopic over-expression of Bcl-xL or addition of the pan-caspase inhibitor z-VAD-fmk. The individual or simultaneous addition of the m-calpain inhibitor (E64d), JNK inhibitor (SP600125) and mitochondrial permeability transition pore inhibitor (CsA) failed to prevent apoptotic events including caspase-8 activation and Bid cleavage, unless the caspase-8 inhibitor (z-IETD-fmk) was combined, whereas AUR-induced caspase-12 activation was sustained even in the concomitant presence of z-IETD-fmk. These results demonstrated that the apoptotic effect of AUR on Jurkat T cells was exerted by the ER stress-mediated activation of caspase-8, and the subsequent induction of mitochondria-dependent or -independent activation of caspase cascade, which could be suppressed by Bcl-xL.","container-title":"Carcinogenesis","DOI":"10.1093/carcin/bgm028","ISSN":"0143-3334","issue":"6","journalAbbreviation":"Carcinogenesis","language":"eng","note":"PMID: 17301064","page":"1303-1313","source":"PubMed","title":"Apoptogenic activity of auraptene of Zanthoxylum schinifolium toward human acute leukemia Jurkat T cells is associated with ER stress-mediated caspase-8 activation that stimulates mitochondria-dependent or -independent caspase cascade","volume":"28","author":[{"family":"Jun","given":"Do Y."},{"family":"Kim","given":"Jun S."},{"family":"Park","given":"Hae S."},{"family":"Han","given":"Cho R."},{"family":"Fang","given":"Zhe"},{"family":"Woo","given":"Mi H."},{"family":"Rhee","given":"In K."},{"family":"Kim","given":"Young H."}],"issued":{"date-parts":[["2007",6]]}}},{"id":630,"uris":["http://zotero.org/users/local/eLmElWd3/items/SLVAYXD4"],"itemData":{"id":630,"type":"article-journal","abstract":"Recent studies indicate that auraptene (7‐geranyloxycoumarin, AUR), a geranyloxycoumarin extracted from fruits of edible plants belonging to the Rutaceae family, may represent a novel lead compound for dietary colon cancer chemoprevention in rodents. As a continuation of studies aimed to better depict the pharmacological effects and mechanism of action of the title natural compound, the current investigation was undertaken to determine whether AUR would be able to prevent the growth and sphere (surrogate tumors) formation of FOLFOX‐resistant colon cancer cells that are highly enriched in cancer stem cells (CSCs). Our results demonstrate that AUR at a concentration of 10 μM was able to inhibit the growth and formation of colonospheres of FOLFOX‐resistant colon cancer HT‐29 cells\n              in vitro\n              . The corresponding parental cells were also similarly affected by AUR at the same concentration level. The reduction in the growth and colonospheres formation in FOLFOX‐resistant HT‐29 was also associated with a concomitant decrease in phospho‐epidermal growth factor receptor. These findings suggest that AUR could prevent the re‐emergence of CSCs. Copyright © 2012 John Wiley &amp; Sons, Ltd.","container-title":"Phytotherapy Research","DOI":"10.1002/ptr.4773","ISSN":"0951-418X, 1099-1573","issue":"5","journalAbbreviation":"Phytotherapy Research","language":"en","license":"http://onlinelibrary.wiley.com/termsAndConditions#vor","page":"784-786","source":"DOI.org (Crossref)","title":"Auraptene and its Effects on the Re‐emergence of Colon Cancer Stem Cells","volume":"27","author":[{"family":"Epifano","given":"Francesco"},{"family":"Genovese","given":"Salvatore"},{"family":"Miller","given":"Rebecca"},{"family":"Majumdar","given":"Adhip P. N."}],"issued":{"date-parts":[["2013",5]]}}},{"id":651,"uris":["http://zotero.org/users/local/eLmElWd3/items/2G8W33R3"],"itemData":{"id":651,"type":"article-journal","container-title":"Phytotherapy Research","DOI":"10.1002/ptr.5810","ISSN":"0951418X","issue":"6","journalAbbreviation":"Phytother. Res.","language":"en","license":"http://doi.wiley.com/10.1002/tdm_license_1.1","page":"891-898","source":"DOI.org (Crossref)","title":"Auraptene Induces Apoptosis via Myeloid Cell Leukemia 1-Mediated Activation of Caspases in PC3 and DU145 Prostate Cancer Cells: Apoptotic Effect of Auraptene","title-short":"Auraptene Induces Apoptosis via Myeloid Cell Leukemia 1-Mediated Activation of Caspases in PC3 and DU145 Prostate Cancer Cells","volume":"31","author":[{"family":"Lee","given":"Jae Chul"},{"family":"Shin","given":"Eun Ah"},{"family":"Kim","given":"Bonglee"},{"family":"Kim","given":"Bo-Im"},{"family":"Chitsazian-Yazdi","given":"Mahsa"},{"family":"Iranshahi","given":"Mehrdad"},{"family":"Kim","given":"Sung-Hoon"}],"issued":{"date-parts":[["2017",6]]}}},{"id":640,"uris":["http://zotero.org/users/local/eLmElWd3/items/PGLNUMY3"],"itemData":{"id":640,"type":"article-journal","container-title":"Journal of Pharmacopuncture","DOI":"10.3831/KPI.2018.21.021","ISSN":"2093-6966, 2234-6856","issue":"3","journalAbbreviation":"J Pharmacopuncture","language":"en","page":"177-184","source":"DOI.org (Crossref)","title":"Auraptene Inhibits Migration and Invasion of Cervical and Ovarian Cancer Cells by Repression of Matrix Metalloproteinasas 2 and 9 Activity","volume":"21","author":[{"family":"Jamialahmadi","given":"Khadijeh"},{"family":"Salari","given":"Sofia"},{"family":"Alamolhodaei","given":"Nafiseh Sadat"},{"family":"Avan","given":"Amir"},{"family":"Gholami","given":"Leila"},{"family":"Karimi","given":"Gholamreza"}],"issued":{"date-parts":[["2018",9,30]]}}},{"id":656,"uris":["http://zotero.org/users/local/eLmElWd3/items/7MT7KM5T"],"itemData":{"id":656,"type":"article-journal","abstract":"The supercritical extraction method is a widely used process to obtain volatile and nonvolatile compounds by avoiding thermal degradation and solvent residue in the extracts. In search of phytochemicals with potential therapeutic application in gastric cancer, the supercritical fluid extract (SFE) of phalsak (\n              Citrus\n              hassaku Hort ex Tanaka) fruits was analyzed by gas chromatography-mass spectrometry (GC-MS). Compositional analysis in comparison with the antiproliferative activities of peel and flesh suggested auraptene as the most prominent anticancer compound against gastric cancer cells. SNU-1 cells were the most susceptible to auraptene-induced toxicity among the tested gastric cancer cell lines. Auraptene induced the death of SNU-1 cells through apoptosis, as evidenced by the increased cell population in the sub-G1 phase, the appearance of fragmented nuclei, the proteolytic cleavage of caspase-3 and poly(ADP-ribose) polymerase (PARP) protein, and depolarization of the mitochondrial membrane. Interestingly, auraptene induces an increase in the phosphorylation of Akt, which is reminiscent of the effect of rapamycin, the mTOR inhibitor that triggers a negative feedback loop on Akt/mTOR pathway. Taken together, these findings provide valuable insights into the anticancer effects of the SFE of the phalsak peel by revealing that auraptene, the major compound of it, induced apoptosis in accompanied with the inhibition of mTOR in SNU-1 cells.","container-title":"Evidence-Based Complementary and Alternative Medicine","DOI":"10.1155/2015/402385","ISSN":"1741-427X, 1741-4288","journalAbbreviation":"Evidence-Based Complementary and Alternative Medicine","language":"en","license":"http://creativecommons.org/licenses/by/3.0/","page":"1-10","source":"DOI.org (Crossref)","title":"Auraptene, a Major Compound of Supercritical Fluid Extract of Phalsak ( &lt;i&gt;Citrus&lt;/i&gt; Hassaku Hort ex Tanaka), Induces Apoptosis through the Suppression of mTOR Pathways in Human Gastric Cancer SNU-1 Cells","volume":"2015","author":[{"family":"Moon","given":"Jeong Yong"},{"family":"Kim","given":"Hyeonji"},{"family":"Cho","given":"Somi Kim"}],"issued":{"date-parts":[["2015"]]}}},{"id":662,"uris":["http://zotero.org/users/local/eLmElWd3/items/5KSZHUKI"],"itemData":{"id":662,"type":"article-journal","container-title":"South African Journal of Botany","DOI":"10.1016/j.sajb.2022.05.056","ISSN":"02546299","journalAbbreviation":"South African Journal of Botany","language":"en","page":"538-548","source":"DOI.org (Crossref)","title":"Bioactive compounds from the fruit extract of Clausena excavata Burm. f. (Rutaceae)","volume":"151","author":[{"family":"Suthiphasilp","given":"Virayu"},{"family":"Maneerat","given":"Tharakorn"},{"family":"Laphookhieo","given":"Surat"},{"family":"Songkerdthong","given":"Jetnipat"},{"family":"Harding","given":"David J."},{"family":"Charoensup","given":"Rawiwan"}],"issued":{"date-parts":[["2022",12]]}}},{"id":649,"uris":["http://zotero.org/users/local/eLmElWd3/items/WDL7WV23"],"itemData":{"id":649,"type":"article-journal","abstract":"Abstract\n            \n              Background\n              Breast cancer is a major problem in the United States leading to tens of thousands of deaths each year. Although citrus auraptene suppresses cancer in numerous rodent models, its role in breast cancer prevention previously has not been reported. Thus, our goal was to determine the anticarcinogenic effects of auraptene against breast cancer.\n            \n            \n              Methods\n              The effects of auraptene on cell proliferation of MCF-7 and MDA-MB-231 human breast carcinoma cells in culture was assessed by measuring metabolism of a substrate to a formazan dye. Dietary effects of auraptene on tumor incidence, multiplicity and latency were studied in the N-methyl nitrosourea (MNU) induced mammary carcinogenesis model in female Sprague Dawley rats. The concentration of auraptene in rat tissues was analyzed by reverse phase HPLC. Cyclin D1 expression in MCF-7 cells and rat tumors was measured by western blot.\n            \n            \n              Results\n              Auraptene (500 ppm) significantly delayed median time to tumor by 39 days compared to the MNU only group (p &lt; 0.05, n = 24–26). Auraptene (10 μM) reduced Insulin like Growth Factor-1 (IGF-1, 10 ng/mL)-induced cyclin D1 expression by 40% in MCF-7 cells. In comparison, western blot analysis of rat mammary tumors (n = 10 per group) confirmed that auraptene (500 ppm) significantly reduced (p &lt; 0.05) cyclin D1 expression by 49% compared to the MNU only group. Analysis of rat mammary tissue extract by HPLC with fluorescence detection indicated an average concentration (means ± S.E.) of 1.4 ± 0.5 μM and 1.8 ± 0.3 μM in the normal mammary glands of the auraptene 200 ppm and 500 ppm groups, respectively. The concentration (means ± S.E.) of auraptene in the mammary tumors of the auraptene 200 ppm group was 0.31 ± 0.98 μM.\n            \n            \n              Conclusion\n              Overall, these observations suggest that the predominant effect of auraptene was to delay the development of tumors possibly through the suppression of cyclin D1 expression. These results point to the potential chemopreventive effects of auraptene in mammary carcinogenesis.","container-title":"BMC Cancer","DOI":"10.1186/1471-2407-9-259","ISSN":"1471-2407","issue":"1","journalAbbreviation":"BMC Cancer","language":"en","page":"259","source":"DOI.org (Crossref)","title":"Citrus auraptene suppresses cyclin D1 and significantly delays N-methyl nitrosourea induced mammary carcinogenesis in female Sprague-Dawley rats","volume":"9","author":[{"family":"Krishnan","given":"Prasad"},{"family":"Yan","given":"Karen J"},{"family":"Windler","given":"David"},{"family":"Tubbs","given":"Jesse"},{"family":"Grand","given":"Robert"},{"family":"Li","given":"Benjamin Dl"},{"family":"Aldaz","given":"C Marcelo"},{"family":"McLarty","given":"Jerry"},{"family":"Kleiner-Hancock","given":"Heather E"}],"issued":{"date-parts":[["2009",12]]}}},{"id":600,"uris":["http://zotero.org/users/local/eLmElWd3/items/DVSR6UVI"],"itemData":{"id":600,"type":"article-journal","abstract":"Adult T-cell leukemia/lymphoma (ATLL) is a serious blood malignancy with distinct geographical distribution. ATLL patients have a short survival time because of intrinsic chemoresistance and severe immunosuppression. To introduce a novel treatment, we investigated whether umbelliprenin (UMB), a natural coumarin derivative, could improve the toxicity of arsenic trioxide (ATO) on ATLL cells. To determine the viability of MT-2 cells upon treatment with different concentrations of UMB and ATO, alamarBlue assay was applied. Cell cycle analysis was carried out by propidium iodide staining and the expression of candidate genes was assessed by quantitative reverse transcription-polymerase chain reaction. Our findings revealed that combination of UMB and ATO induced considerable cytotoxic effects on ATLL cells. Flow cytometry analysis indicated accumulation of MT-2 cells in the sub G\n              1\n              phase of the cell cycle after combinatorial treatment. In addition, significant downregulation in BMI-1, CD44, c-MYC, and nuclear factor-κB (REL-A) expression was observed after UMB + ATO administration. Agents with low side effects are potential candidates for novel cancer treatments. We demonstrated, for the first time, that combination of UMB and ATO might be regarded as an effective regimen for ATLL treatment.","container-title":"Natural Product Communications","DOI":"10.1177/1934578X211072334","ISSN":"1934-578X, 1555-9475","issue":"1","journalAbbreviation":"Natural Product Communications","language":"en","page":"1934578X211072334","source":"DOI.org (Crossref)","title":"Combination of Umbelliprenin and Arsenic Trioxide Acts as an Effective Modality Against T-Cell Leukemia/Lymphoma Cells","volume":"17","author":[{"family":"Delbari","given":"Zahra"},{"family":"Khodadadi","given":"Faeze"},{"family":"Kazemi","given":"Mohaddeseh"},{"family":"Koohpaykar","given":"Hamideh"},{"family":"Iranshahi","given":"Mehrdad"},{"family":"Rafatpanah","given":"Houshang"},{"family":"B. Rassouli","given":"Fatemeh"}],"issued":{"date-parts":[["2022",1]]}}},{"id":604,"uris":["http://zotero.org/users/local/eLmElWd3/items/52JF2VGL"],"itemData":{"id":604,"type":"article-journal","container-title":"Cellular and Molecular Biology","DOI":"10.14715/cmb/2022.68.12.4","ISSN":"1165-158X, 0145-5680","issue":"12","journalAbbreviation":"Cell Mol Biol (Noisy-le-grand)","license":"https://creativecommons.org/licenses/by-nc-nd/4.0","page":"17-20","source":"DOI.org (Crossref)","title":"Comparing toxicity of galbanic acid, auraptene and umbelliprenin on adult T-cell leukaemia-lymphoma in normoxia and hypoxia","volume":"68","author":[{"literal":"Sajad Goudarzi"},{"literal":"Fatemeh B.  Rassouli"},{"literal":"Danial Kahrizi"},{"literal":"Paryan Shirkhani"},{"literal":"Maryam  Mahdifar"},{"literal":"Mehrdad Iranshahi"},{"literal":"Houshang Rafatpanah"},{"literal":"Mohammad Reza  Keramati"},{"literal":"Hossein Ayatollahi"}],"issued":{"date-parts":[["2022",12,31]]}}},{"id":606,"uris":["http://zotero.org/users/local/eLmElWd3/items/2G56EMEF"],"itemData":{"id":606,"type":"article-journal","container-title":"Annals of Colorectal Research","DOI":"10.17795/acr-12476","ISSN":"2322-5262, 2322-5289","issue":"3","journalAbbreviation":"Ann Colorectal Res","page":"101-105","source":"DOI.org (Crossref)","title":"Cytotoxic/Proliferative Effects of Umbelliprenin on Colon Cancer Cell Lines","volume":"1","author":[{"family":"Hamidinia","given":"Maryam"},{"family":"Ramezani","given":"Mohammad"},{"family":"Mojtahedi","given":"Zahra"}],"issued":{"date-parts":[["2013",12,30]]}}},{"id":661,"uris":["http://zotero.org/users/local/eLmElWd3/items/SNSFYGCT"],"itemData":{"id":661,"type":"article-journal","abstract":"Abstract\n            \n              Objectives\n              \n                Angiogenesis is the most important challenge in breast cancer treatment. Recently, scientists become interesting in rare natural products and intensive researches was performed to identify their pharmacological profile. Auraptene shows helpful effects such as cancer chemo-preventive, anti-inflammatory, anti-oxidant, immuno-modulatory. In this regard, we investigated the anti-angiogenesis effect of Auraptene in\n                in-vitro and in-vivo\n                model of breast cancer.\n              \n            \n            \n              Methods\n              \n                In this study, 4T, MDA-MB-231 and HUVEC cell lines were used. The proliferation study was done by MTT assay. For tube formation assay, 250 matrigel, 1 × 10\n                4\n                HUVEC treated with Auraptene, 20 ng/mL EGF, 20 ng/mL bFGF and 20 ng/mL VEGF were used. Gene expression of important gene related to angiogenesis in animal model of breast cancer was investigated by Real-time PCR. Protein expression of VCAM-1 and TNFR-1 gene related to angiogenesis in animal model of breast cancer was investigated by western-blot.\n              \n            \n            \n              Results\n              Auraptene treatment led to reduction in cell viability of MDA-MB-231 in a concentration-dependent manner. Also, we observed change in the number of tubes or branches formed by cells incubated with 40 and 80 μM Auraptene. Auraptene effect the gene expression of important gene related to angiogenesis (VEGF, VEGFR2, COX2, IFNɣ). Moreover, the western blot data exhibited that Auraptene effect the protein expression of VCAM-1 and TNFR-1.\n            \n            \n              Conclusions\n              Overall, this study shows that Auraptene significantly suppressed angiogenesis via down-regulation of VEGF, VEGFR2, VCAM-1, TNFR-1, COX-2 and up-regulation of IFNγ.","container-title":"Hormone Molecular Biology and Clinical Investigation","DOI":"10.1515/hmbci-2021-0056","ISSN":"1868-1883, 1868-1891","issue":"1","language":"en","page":"7-14","source":"DOI.org (Crossref)","title":"Effect of Auraptene on angiogenesis in Xenograft model of breast cancer","volume":"43","author":[{"family":"Shiran","given":"Mohammad Reza"},{"family":"Mahmoudian","given":"Elham"},{"family":"Ajami","given":"Abolghasem"},{"family":"Hosseini","given":"Seyed Mostafa"},{"family":"Khojasteh","given":"Ayjamal"},{"family":"Rashidi","given":"Mohsen"},{"family":"Maroufi","given":"Nazila Fathi"}],"issued":{"date-parts":[["2022",3,3]]}}},{"id":336,"uris":["http://zotero.org/users/local/eLmElWd3/items/XELVBIQC"],"itemData":{"id":336,"type":"article-journal","container-title":"International Journal of Oncology","DOI":"10.3892/ijo.2014.2700","ISSN":"1019-6439, 1791-2423","issue":"1","language":"en","page":"265-271","source":"DOI.org (Crossref)","title":"Esculetin (6,7-dihydroxycoumarin): A potential cancer chemopreventive agent through suppression of Sp1 in oral squamous cancer cells","title-short":"Esculetin (6,7-dihydroxycoumarin)","volume":"46","author":[{"family":"Cho","given":"Jin Hyoung"},{"family":"Shin","given":"Jae-Cheon"},{"family":"Cho","given":"Jung-Jae"},{"family":"Choi","given":"Yung Hyun"},{"family":"Shim","given":"Jung-Hyun"},{"family":"Chae","given":"Jung-Il"}],"issued":{"date-parts":[["2015",1]]}}},{"id":332,"uris":["http://zotero.org/users/local/eLmElWd3/items/FSRV82H4"],"itemData":{"id":332,"type":"article-journal","container-title":"General physiology and biophysics","DOI":"10.4149/gpb_2016024","ISSN":"1338-4325","issue":"01","journalAbbreviation":"gpb","page":"31-39","source":"DOI.org (Crossref)","title":"Esculetin exerts anti-proliferative effects against non-small-cell lung carcinoma by suppressing specificity protein 1 in vitro","volume":"36","author":[{"family":"Lee","given":"Ra H."},{"family":"Jeon","given":"Young-Joo"},{"family":"Cho","given":"Jin H."},{"family":"Jang","given":"Jeong-Yun"},{"family":"Kong","given":"Il-Keun"},{"family":"Kim","given":"Seok-Ho"},{"family":"Kim","given":"MinSeok S."},{"family":"Chung","given":"Hak-Jae"},{"family":"Oh","given":"Keon B."},{"family":"Park","given":"Seon-Min"},{"family":"Shin","given":"Jae-Cheon"},{"family":"Seo","given":"Jae-Min"},{"family":"Ko","given":"Sungho"},{"family":"Shim","given":"Jung-Hyun"},{"family":"Chae","given":"Jung-Il"}],"issued":{"date-parts":[["2017"]]}}},{"id":359,"uris":["http://zotero.org/users/local/eLmElWd3/items/UP58AYD3"],"itemData":{"id":359,"type":"article-journal","container-title":"European Journal of Pharmacology","DOI":"10.1016/j.ejphar.2017.08.025","ISSN":"00142999","journalAbbreviation":"European Journal of Pharmacology","language":"en","page":"207-215","source":"DOI.org (Crossref)","title":"Esculetin exerts antitumor effect on human gastric cancer cells through IGF-1/PI3K/Akt signaling pathway","volume":"814","author":[{"family":"Wang","given":"Guijun"},{"family":"Lu","given":"Meili"},{"family":"Yao","given":"Yusheng"},{"family":"Wang","given":"Jing"},{"family":"Li","given":"Juan"}],"issued":{"date-parts":[["2017",11]]}}},{"id":338,"uris":["http://zotero.org/users/local/eLmElWd3/items/IMSL4CKI"],"itemData":{"id":338,"type":"article-journal","container-title":"Experimental and Therapeutic Medicine","DOI":"10.3892/etm.2022.11460","ISSN":"1792-0981, 1792-1015","issue":"2","journalAbbreviation":"Exp Ther Med","page":"533","source":"DOI.org (Crossref)","title":"Esculetin has therapeutic potential via the proapoptotic signaling pathway in A253 human submandibular salivary gland tumor cells","volume":"24","author":[{"family":"Park","given":"Su-Bin"},{"family":"Jung","given":"Woo"},{"family":"Kim","given":"Hyung"},{"family":"Yu","given":"Hwa-Young"},{"family":"Kim","given":"Yong"},{"family":"Kim","given":"Junghyun"}],"issued":{"date-parts":[["2022",6,22]]}}},{"id":329,"uris":["http://zotero.org/users/local/eLmElWd3/items/XHV47DCR"],"itemData":{"id":329,"type":"article-journal","container-title":"Molecular Cancer","DOI":"10.1186/s12943-016-0550-2","ISSN":"1476-4598","issue":"1","journalAbbreviation":"Mol Cancer","language":"en","page":"64","source":"DOI.org (Crossref)","title":"Esculetin induces antiproliferative and apoptotic response in pancreatic cancer cells by directly binding to KEAP1","volume":"15","author":[{"family":"Arora","given":"Rashi"},{"family":"Sawney","given":"Sharad"},{"family":"Saini","given":"Vikas"},{"family":"Steffi","given":"Chris"},{"family":"Tiwari","given":"Manisha"},{"family":"Saluja","given":"Daman"}],"issued":{"date-parts":[["2016",12]]}}},{"id":346,"uris":["http://zotero.org/users/local/eLmElWd3/items/JWEA4ARU"],"itemData":{"id":346,"type":"article-journal","container-title":"Chemico-Biological Interactions","DOI":"10.1016/j.cbi.2015.09.015","ISSN":"00092797","journalAbbreviation":"Chemico-Biological Interactions","language":"en","page":"51-60","source":"DOI.org (Crossref)","title":"Esculetin induces apoptosis in human gastric cancer cells through a cyclophilin D-mediated mitochondrial permeability transition pore associated with ROS","volume":"242","author":[{"family":"Pan","given":"Hui"},{"family":"Wang","given":"Bao-Hui"},{"family":"Lv","given":"Wang"},{"family":"Jiang","given":"Yan"},{"family":"He","given":"Lei"}],"issued":{"date-parts":[["2015",12]]}}},{"id":375,"uris":["http://zotero.org/users/local/eLmElWd3/items/6ZEFTUJ8"],"itemData":{"id":375,"type":"article-journal","abstract":"Esculetin, a coumarin compound, has anti-proliferative effects on various types of human cancer cells, but its effect on oral squamous cell carcinoma (OSCC) is unknown. In this study, we determined whether esculetin had anti-proliferative effects on two oral squamous cell lines, HN22, and HSC2. We found that esculetin inhibited cell viability by inducing apoptosis, as evinced by apoptotic cell morphologies, nuclear fragmentation, and the multi-caspase/MMP activity. Furthermore, proteomic analysis was used to identify the target-speciﬁc proteins involved in esculetin treatment. Intriguingly, apoptotic cell death by esculetin was associated with signiﬁcant inhibition of the EGFR/PI3K/Akt signaling pathway. We also demonstrated that the expression of nucleophosmin (NPM) markedly decreased after esculetin treatment, and relocalization of NPM from the nucleous to the cytoplasm, together with p65, potentiated apoptotic stimulation. Additionally, our data indicated that NPM expression was markedly higher in OSCC tissues than in normal tissues. Our results collectively indicated that esculetin inhibited the proliferation of OSCC through EGFR-mediated signaling pathways and down-regulation of NPM as well as the perturbation of NPM trafﬁcking from the nucleolus to the cytoplasm resulted in apoptosis. J. Cell. Biochem. 117: 1210–1221, 2016. © 2015 Wiley Periodicals, Inc.","container-title":"Journal of Cellular Biochemistry","DOI":"10.1002/jcb.25404","ISSN":"0730-2312, 1097-4644","issue":"5","journalAbbreviation":"J of Cellular Biochemistry","language":"en","license":"http://onlinelibrary.wiley.com/termsAndConditions#vor","page":"1210-1221","source":"DOI.org (Crossref)","title":"Esculetin Induces Apoptosis Through EGFR/PI3K/Akt Signaling Pathway and Nucleophosmin Relocalization","volume":"117","author":[{"family":"Jeon","given":"Young‐Joo"},{"family":"Cho","given":"Jin Hyoung"},{"family":"Lee","given":"Seung‐Yeop"},{"family":"Choi","given":"Yung Hyun"},{"family":"Park","given":"Hongju"},{"family":"Jung","given":"Seunggon"},{"family":"Shim","given":"Jung‐Hyun"},{"family":"Chae","given":"Jung‐Il"}],"issued":{"date-parts":[["2016",5]]}}},{"id":327,"uris":["http://zotero.org/users/local/eLmElWd3/items/Q2U8HNG4"],"itemData":{"id":327,"type":"article-journal","abstract":"Abstract\n            We investigated the anti‐cancer effects of ESC in human colon cancer LoVo cells. Cell counting assay results showed that ESC inhibited the proliferation of LoVo cells. Cell cycle arrest results showed that cell cycle was arrested during the G0/G1 phase in the ESC‐treated LoVo cells. Western blot results showed that the cell cycle inhibitory proteins p53, p27, and p21 were increased, and cyclin D1, the cell cycle progressive protein, was decreased. Sp1 is a transcription factor regulating cell proliferation, was decreased in the ESC‐treated LoVo cells. Annexin V/propidium iodide staining results showed that ESC induces apoptosis in LoVo cells. Western blot results showed that Bax, cleaved caspase ‐3, ‐7, ‐9, and poly(ADP‐ribose) polymerase, which are proapoptotic proteins, were increased and the antiapoptotic protein Bcl‐2 was decreased. Taken together, ESC induced apoptosis and has an anti‐cancer effect in LoVo cells.","container-title":"Environmental Toxicology","DOI":"10.1002/tox.22815","ISSN":"1520-4081, 1522-7278","issue":"10","journalAbbreviation":"Environmental Toxicology","language":"en","page":"1129-1136","source":"DOI.org (Crossref)","title":"Esculetin induces cell cycle arrest and apoptosis in human colon cancer LoVo cells","volume":"34","author":[{"family":"Choi","given":"Yong J."},{"family":"Lee","given":"Chang M."},{"family":"Park","given":"See‐Hyoung"},{"family":"Nam","given":"Myeong J."}],"issued":{"date-parts":[["2019",10]]}}},{"id":356,"uris":["http://zotero.org/users/local/eLmElWd3/items/3FPLUVBM"],"itemData":{"id":356,"type":"article-journal","container-title":"Environmental Toxicology and Pharmacology","DOI":"10.1016/j.etap.2015.03.003","ISSN":"13826689","issue":"2","journalAbbreviation":"Environmental Toxicology and Pharmacology","language":"en","page":"982-989","source":"DOI.org (Crossref)","title":"Esculetin induces death of human colon cancer cells via the reactive oxygen species-mediated mitochondrial apoptosis pathway","volume":"39","author":[{"family":"Kim","given":"Areum Daseul"},{"family":"Han","given":"Xia"},{"family":"Piao","given":"Mei Jing"},{"family":"Hewage","given":"Susara Ruwan Kumara Madduma"},{"family":"Hyun","given":"Chang Lim"},{"family":"Cho","given":"Suk Ju"},{"family":"Hyun","given":"Jin Won"}],"issued":{"date-parts":[["2015",3]]}}},{"id":597,"uris":["http://zotero.org/users/local/eLmElWd3/items/FRVAG7E8"],"itemData":{"id":597,"type":"article-journal","container-title":"Frontiers in Pharmacology","DOI":"10.3389/fphar.2020.00379","ISSN":"1663-9812","journalAbbreviation":"Front. Pharmacol.","page":"379","source":"DOI.org (Crossref)","title":"Esculetin Inhibits Cancer Cell Glycolysis by Binding Tumor PGK2, GPD2, and GPI","volume":"11","author":[{"family":"Wu","given":"Song-Tao"},{"family":"Liu","given":"Bo"},{"family":"Ai","given":"Zhong-Zhu"},{"family":"Hong","given":"Zong-Chao"},{"family":"You","given":"Peng-Tao"},{"family":"Wu","given":"He-Zhen"},{"family":"Yang","given":"Yan-Fang"}],"issued":{"date-parts":[["2020",3,27]]}}},{"id":396,"uris":["http://zotero.org/users/local/eLmElWd3/items/2VZ9RSCN"],"itemData":{"id":396,"type":"article-journal","container-title":"Oncology Reports","DOI":"10.3892/or_00001064","ISSN":"1021335X, 17912431","issue":"1","journalAbbreviation":"Oncol Rep","language":"en","source":"DOI.org (Crossref)","title":"Esculetin inhibits cell proliferation through the Ras/ERK1/2 pathway in human colon cancer cells","URL":"http://www.spandidos-publications.com/or/25/1/223","volume":"25","author":[{"literal":"Moon"}],"accessed":{"date-parts":[["2024",9,3]]},"issued":{"date-parts":[["2010",11,26]]}}},{"id":344,"uris":["http://zotero.org/users/local/eLmElWd3/items/WNRH8JZU"],"itemData":{"id":344,"type":"article-journal","container-title":"Biomedicine &amp; Pharmacotherapy","DOI":"10.1016/j.biopha.2020.110031","ISSN":"07533322","journalAbbreviation":"Biomedicine &amp; Pharmacotherapy","language":"en","page":"110031","source":"DOI.org (Crossref)","title":"Esculetin inhibits proliferation, migration, and invasion of clear cell renal cell carcinoma cells","volume":"125","author":[{"family":"Duan","given":"Junyao"},{"family":"Shi","given":"Jing"},{"family":"Ma","given":"Xin"},{"family":"Xuan","given":"Yundong"},{"family":"Li","given":"Pin"},{"family":"Wang","given":"Hanfeng"},{"family":"Fan","given":"Yang"},{"family":"Gong","given":"Huijie"},{"family":"Wang","given":"Ling"},{"family":"Pang","given":"Yuewen"},{"family":"Pang","given":"Shaoqiang"},{"family":"Yan","given":"Yongji"}],"issued":{"date-parts":[["2020",5]]}}},{"id":340,"uris":["http://zotero.org/users/local/eLmElWd3/items/HDXK2MVC"],"itemData":{"id":340,"type":"article-journal","container-title":"Journal of Cancer Prevention","DOI":"10.15430/JCP.2018.23.1.10","ISSN":"2288-3649, 2288-3657","issue":"1","journalAbbreviation":"J Cancer Prev","language":"en","page":"10-17","source":"DOI.org (Crossref)","title":"Esculetin Inhibits the Survival of Human Prostate Cancer Cells by Inducing Apoptosis and Arresting the Cell Cycle","volume":"23","author":[{"family":"Turkekul","given":"Kader"},{"family":"Colpan","given":"R. Dilsu"},{"family":"Baykul","given":"Talha"},{"family":"Ozdemir","given":"Mehmet D."},{"family":"Erdogan","given":"Suat"}],"issued":{"date-parts":[["2018",3,30]]}}},{"id":419,"uris":["http://zotero.org/users/local/eLmElWd3/items/4998GPMG"],"itemData":{"id":419,"type":"article-journal","abstract":"Abstract\n            The Wnt pathway is a promising therapeutic and preventive target in various human cancers. The transcriptional complex of β-catenin–T-cell factor (Tcf), a key mediator of canonical Wnt signaling, has been implicated in human colon cancer development. Current treatment of colon cancer depends on traditional cytotoxic agents with limited effects. Therefore, the identification of natural compounds that can disrupt the β-catenin–TcF complex to suppress cancer cell growth with fewer adverse side effects is needed. To identify compounds that inhibit the association between β-catenin and Tcf, we used computer docking to screen a natural compound library. Esculetin, also known as 6,7-dihydroxycoumarin, is a derivative of coumarin and was identified as a potential small-molecule inhibitor of the Wnt–β-catenin pathway. We then evaluated the effect of esculetin on the growth of various human colon cancer cell lines and its effect on Wnt–β-catenin signaling in cells and in an embryonic model. Esculetin disrupted the formation of the β-catenin–Tcf complex through direct binding with the Lys312, Gly307, Lys345, and Asn387 residues of β-catenin in colon cancer cells. In addition, esculetin effectively decreased viability and inhibited anchorage-independent growth of colon cancer cells. Esculetin potently antagonized the cellular effects of β-catenin–dependent activity, and in vivo treatment with esculetin suppressed tumor growth in a colon cancer xenograft mouse model. Our data indicate that the interaction between esculetin and β-catenin inhibits the formation of the β-catenin–Tcf complex, which could contribute to esculetin's positive therapeutic and preventive effects against colon carcinogenesis. Cancer Prev Res; 6(12); 1356–64. ©2013 AACR.","container-title":"Cancer Prevention Research","DOI":"10.1158/1940-6207.CAPR-13-0241","ISSN":"1940-6207, 1940-6215","issue":"12","language":"en","page":"1356-1364","source":"DOI.org (Crossref)","title":"Esculetin Suppresses Proliferation of Human Colon Cancer Cells by Directly Targeting β-Catenin","volume":"6","author":[{"family":"Lee","given":"Sung-Young"},{"family":"Lim","given":"Tae-Gyu"},{"family":"Chen","given":"Hanyong"},{"family":"Jung","given":"Sung Keun"},{"family":"Lee","given":"Hyo-Jeong"},{"family":"Lee","given":"Mee-Hyun"},{"family":"Kim","given":"Dong Joon"},{"family":"Shin","given":"Aram"},{"family":"Lee","given":"Ki Won"},{"family":"Bode","given":"Ann M."},{"family":"Surh","given":"Young-Joon"},{"family":"Dong","given":"Zigang"}],"issued":{"date-parts":[["2013",12,1]]}}},{"id":377,"uris":["http://zotero.org/users/local/eLmElWd3/items/7JC8NIR3"],"itemData":{"id":377,"type":"article-journal","container-title":"Biochemical Pharmacology","DOI":"10.1016/j.bcp.2018.03.009","ISSN":"00062952","journalAbbreviation":"Biochemical Pharmacology","language":"en","page":"71-83","source":"DOI.org (Crossref)","title":"Esculetin suppresses tumor growth and metastasis by targeting Axin2/E-cadherin axis in colorectal cancer","volume":"152","author":[{"family":"Kim","given":"Won Kyung"},{"family":"Byun","given":"Woong Sub"},{"family":"Chung","given":"Hwa-Jin"},{"family":"Oh","given":"Jedo"},{"family":"Park","given":"Hyen Joo"},{"family":"Choi","given":"Jae Sue"},{"family":"Lee","given":"Sang Kook"}],"issued":{"date-parts":[["2018",6]]}}},{"id":326,"uris":["http://zotero.org/users/local/eLmElWd3/items/KU5X3GHG"],"itemData":{"id":326,"type":"article-journal","container-title":"Tumor Biology","DOI":"10.1007/s13277-015-4286-1","ISSN":"1010-4283, 1423-0380","issue":"4","journalAbbreviation":"Tumor Biol.","language":"en","page":"4665-4678","source":"DOI.org (Crossref)","title":"Esculetin, a natural coumarin compound, evokes Ca2+ movement and activation of Ca2+-associated mitochondrial apoptotic pathways that involved cell cycle arrest in ZR-75-1 human breast cancer cells","volume":"37","author":[{"family":"Chang","given":"Hong-Tai"},{"family":"Chou","given":"Chiang-Ting"},{"family":"Lin","given":"You-Sheng"},{"family":"Shieh","given":"Pochuen"},{"family":"Kuo","given":"Daih-Huang"},{"family":"Jan","given":"Chung-Ren"},{"family":"Liang","given":"Wei-Zhe"}],"issued":{"date-parts":[["2016",4]]}}},{"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685,"uris":["http://zotero.org/users/local/eLmElWd3/items/AKDFRMGG"],"itemData":{"id":685,"type":"article-journal","abstract":"Androgen receptor (AR) signaling is crucial for the genesis and progression of prostate cancer (PCa). We compared the growth responses of AR(+) LNCaP and LNCaP C4-2 vs. AR(-) DU145 and PC-3 PCa cell lines to galbanic acid (GBA) isolated from the resin of medicinal herb Ferula assafoetida and assessed their connection to AR signaling and cell cycle regulatory pathways. Our results showed that GBA preferentially suppressed AR(+) PCa cell growth than AR(-) PCa cells. GBA induced a caspase-mediated apoptosis that was attenuated by a general caspase inhibitor. Subapoptotic GBA downregulated AR protein in LNCaP cells primarily through promoting its proteasomal degradation, and inhibited AR-dependent transcription without affecting AR nuclear translocation. Whereas docking simulations predicted binding of GBA to the AR ligand binding domain with similarities and differences with the AR antagonist drug bicalutamide (Bic), LNCaP cell culture assays did not detect agonist activity of GBA. GBA and Bic exerted greater than additive inhibitory effect on cell growth when used together. Subapoptotic GBA induced G(1) arrest associated with an inhibition of cyclin/CDK4/6 pathway, especially cyclin D(1) without the causal involvement of cyclin-dependent kinase (CDK) inhibitory proteins P21(Cip1) and P27(Kip1) . In summary, the novelty of GBA as an anti-AR compound resides in the distinction between GBA and Bic with respect to AR protein turnover and a lack of agonist effect. Our observations of anti-AR and cell cycle arrest actions plus the anti-angiogenesis effect reported elsewhere suggest GBA as a multitargeting drug candidate for the prevention and therapy of PCa.","container-title":"International Journal of Cancer","DOI":"10.1002/ijc.25993","ISSN":"1097-0215","issue":"1","journalAbbreviation":"Int J Cancer","language":"eng","note":"PMID: 21328348\nPMCID: PMC3137900","page":"200-212","source":"PubMed","title":"Galbanic acid decreases androgen receptor abundance and signaling and induces G1 arrest in prostate cancer cells","volume":"130","author":[{"family":"Zhang","given":"Yong"},{"family":"Kim","given":"Kwan-Hyun"},{"family":"Zhang","given":"Wei"},{"family":"Guo","given":"Yinglu"},{"family":"Kim","given":"Sung-Hoon"},{"family":"Lü","given":"Junxuan"}],"issued":{"date-parts":[["2012",1,1]]}}},{"id":677,"uris":["http://zotero.org/users/local/eLmElWd3/items/73X5U7SE"],"itemData":{"id":677,"type":"article-journal","container-title":"European Journal of Pharmacology","DOI":"10.1016/j.ejphar.2019.01.028","ISSN":"00142999","journalAbbreviation":"European Journal of Pharmacology","language":"en","page":"91-96","source":"DOI.org (Crossref)","title":"Galbanic acid potentiates TRAIL induced apoptosis in resistant non-small cell lung cancer cells via inhibition of MDR1 and activation of caspases and DR5","volume":"847","author":[{"family":"Kim","given":"Yoon Hyeon"},{"family":"Shin","given":"Eun Ah"},{"family":"Jung","given":"Ji Hoon"},{"family":"Park","given":"Ji Eon"},{"family":"Koo","given":"Jinsuk"},{"family":"Koo","given":"Ja Il"},{"family":"Shim","given":"Bum Sang"},{"family":"Kim","given":"Sung-Hoon"}],"issued":{"date-parts":[["2019",3]]}}},{"id":666,"uris":["http://zotero.org/users/local/eLmElWd3/items/UES4EFHG"],"itemData":{"id":666,"type":"article-journal","abstract":"In the current study, silver nanoparticles (AgNPs) were biosynthesized using galbanic acid (GA), a sesquiterpene coumarin. The formation of GA-AgNPs was characterized by ultraviolet–visible (UV–Vis) spectroscopy, Fourier transform infrared (FT-IR) spectroscopy, scanning electron microscopy (SEM), Energy Dispersive X-ray (EDX), and X-ray diffraction (XRD). The biosynthesized GA-AgNPs were spherical in shape with an average particle size of 142.33 ± 32.6 nm. The results from the antibacterial assays suggested that biosynthesized GA-AgNPs were more potent against multi-drug resistant (MDR) and non-MDR pathogenic bacteria than the crude GA alone. The nanoparticles also showed potent antiproliferative potential against H1229 and MCF-7 cancer cells with IC50 values of 25 μg/mL and 50 μg/mL by the MTT assay, respectively. These NPs showed good antioxidant (30 % at 100 µg/mL), anti-inflammatory (99.5 % at 500 µg/mL), and anti-coagulant properties without significant hemolysis on red blood cells (RBCs). These results confirm the benefits of using the green, simple, and cost-effective manner for the synthesis of AgNPs with excellent biological properties and hemocompatibility.","container-title":"Advanced Powder Technology","DOI":"10.1016/j.apt.2022.103928","ISSN":"0921-8831","issue":"1","journalAbbreviation":"Advanced Powder Technology","page":"103928","source":"ScienceDirect","title":"Galbanic acid, a sesquiterpene coumarin as a novel candidate for the biosynthesis of silver nanoparticles: &lt;i&gt;In vitro&lt;/i&gt; hemocompatibility, antiproliferative, antibacterial, antioxidant, and anti-inflammatory properties","title-short":"Galbanic acid, a sesquiterpene coumarin as a novel candidate for the biosynthesis of silver nanoparticles","volume":"34","author":[{"family":"Chahardoli","given":"Azam"},{"family":"Mavaei","given":"Maryamosadat"},{"family":"Shokoohinia","given":"Yalda"},{"family":"Fattahi","given":"Ali"}],"issued":{"date-parts":[["2023",1,1]]}}},{"id":609,"uris":["http://zotero.org/users/local/eLmElWd3/items/DKBLP52M"],"itemData":{"id":609,"type":"article-journal","container-title":"Oncology Letters","DOI":"10.3892/ol.2016.5352","ISSN":"1792-1074, 1792-1082","issue":"6","language":"en","page":"5295-5302","source":"DOI.org (Crossref)","title":"Immune-associated proteins with potential in vivo anti-tumor activities are upregulated in lung cancer cells treated with umbelliprenin: A proteomic approach","title-short":"Immune-associated proteins with potential in vivo anti-tumor activities are upregulated in lung cancer cells treated with umbelliprenin","volume":"12","author":[{"family":"Khaghanzadeh","given":"Narges"},{"family":"Nakamura","given":"Kazuyuki"},{"family":"Kuramitsu","given":"Yasuhiro"},{"family":"Ghaderi","given":"Abbas"},{"family":"Mojtahedi","given":"Zahra"}],"issued":{"date-parts":[["2016",12]]}}},{"id":672,"uris":["http://zotero.org/users/local/eLmElWd3/items/D7VKRIBE"],"itemData":{"id":672,"type":"article-journal","abstract":"Background and aims: Radiotherapy ranks among the most important procedures in ovarian cancer therapy. However, radioresistance is becoming more prevalent and is one of the main causes of poor clinical outcomes. To overcome this problem, radiosensitizers may be used. The present study aimed to evaluate the radiosensitizing properties of galbanic acid (GBA) on ovarian cancer cells in vitro. Materials and methods: OVCAR-3 cells, an ovarian cancer cell line, were treated with increasing concentrations of GBA (5, 10, 20, and 40 μg/mL) for 24, 48, and 72 h to determine its half-maximal inhibitory concentration (IC\n              50\n              ). Cell viability was assessed by alamar Blue assay. The cells treated with 10 μg/mL GBA for 24 h were exposed to increasing doses of radiation (1, 2, and 4 Gy) and the survival fraction was investigated by clonogenic assay. Results: Assessment of cell viability indicated that GBA caused toxicity in a dose-dependent manner. Additionally, GBA pretreatment significantly improved the radiosensitivity of the cells, and survival fraction data indicated synergy between GBA and radiation. Conclusion: Taken together, the current findings highlight GBA as a potent radiosensitizing agent; however, further research is required to determine the molecular mechanisms of the observed effect both in vitro and in vivo. It is also suggested that the radiosensitization effect of GBA on other cell types should be studied in the future.","container-title":"Natural Product Communications","DOI":"10.1177/1934578X211046068","ISSN":"1934-578X, 1555-9475","issue":"10","journalAbbreviation":"Natural Product Communications","language":"en","page":"1934578X211046068","source":"DOI.org (Crossref)","title":"In vitro Study of Radiosensitivity Effects of Galbanic Acid on Ovarian Tumor Cells (OVCAR-3 Cell Line)","volume":"16","author":[{"family":"Hashemi","given":"Raziyeh"},{"family":"Farahi","given":"Mojtaba"},{"family":"Bagheri","given":"Ramin"},{"family":"Iranshahi","given":"Mehrdad"},{"family":"Torabinejad","given":"Sepehr"},{"family":"Gharedaghi","given":"Shahin"},{"family":"Soleymanifard","given":"Shokouhozaman"}],"issued":{"date-parts":[["2021",10]]}}},{"id":416,"uris":["http://zotero.org/users/local/eLmElWd3/items/IW4L2GFF"],"itemData":{"id":416,"type":"article-journal","abstract":"In the present study, we reported that apoptosis induced by esculetin, a phenolic compound with apoptotic activity in cancer cells, was markedly blocked by Bcl-2-overexpression, but restored by HA14-1, a small-molecule Bcl-2 inhibitor, in human leukemic U937 cells. The combined use of esculetin and HA14-1 effectively induced Bid cleavage and loss of mitochondrial membrane potential (MMP, Dwm) leading to the activation of caspases and cleavage of poly(ADP-ribose) polymerase (PARP) in Bcl-2-overexpressing (U937/Bcl-2) cells. Combined treatment with esculetin and HA14-1 upregulated the expression of death receptor 4 (DR4), and activation of extracellular-regulated kinase (ERK) in a timedependent manner. In addition, esculetin and HA14-1-mediated apoptosis was reduced by ERK inhibitors through inhibition of DR4 expression, suggesting that the synergistic effect was at least partially mediated through ERK-dependent induction of DR4 expression. The results indicate that HA14-1-induced reversal of the anti-apoptotic effect of Bcl-2 confers apoptosis sensitivity to esculetin by a mitochondrial ampliﬁcation step and through the ERK-dependent induction of DR4 expression in U937/Bcl-2 cells. Thus, HA14-1 reversal of Bcl-2-mediated esculetin resistance suggests a novel strategy for increasing esculetin sensitivity in Bcl-2-overexpressing leukemia cells.","container-title":"Toxicology in Vitro","DOI":"10.1016/j.tiv.2009.09.017","ISSN":"08872333","issue":"2","journalAbbreviation":"Toxicology in Vitro","language":"en","page":"486-494","source":"DOI.org (Crossref)","title":"Induction of apoptosis by esculetin in human leukemia U937 cells: Roles of Bcl-2 and extracellular-regulated kinase signaling","title-short":"Induction of apoptosis by esculetin in human leukemia U937 cells","volume":"24","author":[{"family":"Park","given":"Cheol"},{"family":"Jin","given":"Cheng-Yun"},{"family":"Kwon","given":"Hyun Ju"},{"family":"Hwang","given":"Hye Jin"},{"family":"Kim","given":"Gi-Young"},{"family":"Choi","given":"Il Whan"},{"family":"Kwon","given":"Taeg Kyu"},{"family":"Kim","given":"Byung-Woo"},{"family":"Kim","given":"Wun-Jae"},{"family":"Choi","given":"Yung Hyun"}],"issued":{"date-parts":[["2010",3]]}}},{"id":629,"uris":["http://zotero.org/users/local/eLmElWd3/items/Q8RUWMLH"],"itemData":{"id":629,"type":"article-journal","container-title":"Journal of Food Measurement and Characterization","DOI":"10.1007/s11694-019-00185-6","ISSN":"2193-4126, 2193-4134","issue":"4","journalAbbreviation":"Food Measure","language":"en","page":"2644-2653","source":"DOI.org (Crossref)","title":"Inhibition of human breast cancer cells (MCF-7 cell line) growth via cell proliferation, migration, and angiogenesis by auraptene of Ferula szowitsiana root extract","volume":"13","author":[{"family":"Charmforoshan","given":"Ensiyeh"},{"family":"Karimi","given":"Ehsan"},{"family":"Oskoueian","given":"Ehsan"},{"family":"Es-Haghi","given":"Ali"},{"family":"Iranshahi","given":"Mehrdad"}],"issued":{"date-parts":[["2019",12]]}}},{"id":385,"uris":["http://zotero.org/users/local/eLmElWd3/items/G8EU9LQQ"],"itemData":{"id":385,"type":"article-journal","abstract":"Lung cancer is characterized by high mortality and it is a serious threat to human health. At present, strategies used for treatment of lung cancer are not effective. Hence, there is need for new drugs that can effectively treat the metastatic stage of the cancer. The present study investigated the effect of esculetin on proliferation and epithelial-mesenchymal transition (EMT) of human lung cancer (A549) cells, and the underlying mechanism.Cell proliferation was assessed using MTT assay. Real-time quantitative polymerase chain reaction (qRT-PCR) and Western blotting were employed for the determination of changes in the expression levels of vimentin, Snail and E-cadherin mRNAs. Cell invasion and migration were determined using Transwell assay. The results showed that esculetin significantly and time- and dose-dependently inhibited the proliferation of A549 cells (p &lt; 0.05). It also significantly and dose-dependently reduced their invasive ability (p &lt; 0.05). The levels of expression of vimentin and Snail mRNAs were significantly and dose-dependently down-regulated in esculetin-treated A549 cells, when compared with the control cells (p &lt; 0.05). Esculetin treatment significantly and dose-dependently upregulated the expression of E-cadherin mRNA (p &lt; 0.05). These results demonstrate that esculetin effectively inhibits the proliferation of A549 cells, and regulates EMT of the cells via the down-regulation of vimentin and Snail, and up-regulation of E-cadherin expressions.","container-title":"Cellular and Molecular Biology","DOI":"10.14715/cmb/2019.65.7.16","ISSN":"1165-158X, 0145-5680","issue":"7","journalAbbreviation":"Cell Mol Biol (Noisy-le-grand)","language":"en","page":"95-98","source":"DOI.org (Crossref)","title":"Esculetin inhibits the proliferation of human lung cancer cells by targeting epithelial-to-mesenchymal transition of the cells","volume":"65","author":[{"family":"Li","given":"Hua"},{"family":"Wang","given":"Qi"},{"family":"Wang","given":"Yunli"},{"family":"Xu","given":"Ze"},{"family":"Han","given":"Zhong"}],"issued":{"date-parts":[["2019",9,30]]}}},{"id":675,"uris":["http://zotero.org/users/local/eLmElWd3/items/6F6IMKEI"],"itemData":{"id":675,"type":"article-journal","abstract":"OBJECTIVE: In the current investigation, we aimed to study the combined cytotoxicity of curcumin, as a nanomicellar formulation, and galbanic acid (Gal), dissolved in DMSO against the murine C26 and human Caco-2 colon carcinoma cells. Further, curcumin potential for cisplatin and doxorubicin (Dox) co-therapy was studied.\nMATERIALS AND METHODS: The combined cytotoxic effect of these phytochemicals at varying dose ratios were examined using the MTT colorimetric assay. Moreover, the time-dependent toxicity of curcumin, cisplatin, Dox, and pegylated liposomal Dox (Doxil) was determined. The interactive anti-proliferative behavior of these compounds was examined using the CompuSyn software.\nRESULTS: Nanomicellar curcumin showed considerable cytotoxicity in C26 cells 24 hr post-treatment. Co-treatment of cells with curcumin nanomicelles: Gal had a synergistic effect in C26 (at 10:1 molar ratio), and Caco-2 (at 1:5 molar ratio) cell lines in cell cultures. Nanomicellar curcumin showed strong and mild synergistic inhibitory effects in C26 cells when co-administered with Doxil and cisplatin, respectively.\nCONCLUSION: Curcumin nanomicelles and Gal had a synergistic effect in C26 and Caco-2 cell lines. It is speculated that nanomicellar curcumin shows synergistic cancer cell killing if administered 24-hr post-injection of Doxil and cisplatin.","container-title":"Avicenna Journal of Phytomedicine","ISSN":"2228-7930","issue":"3","journalAbbreviation":"Avicenna J Phytomed","language":"eng","note":"PMID: 31143691\nPMCID: PMC6526034","page":"237-247","source":"PubMed","title":"Interactive anticancer effect of nanomicellar curcumin and galbanic acid combination therapy with some common chemotherapeutics in colon carcinoma cells","volume":"9","author":[{"family":"Jafari","given":"Arash"},{"family":"Teymouri","given":"Manouchehr"},{"family":"Ebrahimi Nik","given":"Maryam"},{"family":"Abbasi","given":"Azam"},{"family":"Iranshahi","given":"Mehrdad"},{"family":"Hanafi-Bojd","given":"Mohammad Yahya"},{"family":"Jafari","given":"Mahmoud Reza"}],"issued":{"date-parts":[["2019"]]}}},{"id":602,"uris":["http://zotero.org/users/local/eLmElWd3/items/T53PYJZC"],"itemData":{"id":602,"type":"article-journal","abstract":"Abstract\n              \n                Coumarins possess a wide array of therapeutic capabilities, but often with unclear mechanism of action. We tested a small library of 18 coumarin derivatives against human invasive breast ductal carcinoma cells with the capacity of each compound to inhibit cell proliferation scored, and the most potent coumarin analogues selected for further studies. Interestingly, the presence of two prenyloxy groups (5,7-diprenyloxy-4-methyl-coumarin,\n                4g\n                ) or the presence of octyloxy substituent (coumarin\n                4d\n                ) was found to increase the potency of compounds in breast cancer cells, but not against healthy human fibroblasts. The activity of potent compounds on breast cancer cells cultured more similarly to the conditions of the tumour microenvironment was also investigated, and increased toxicity was observed. Results suggest that tested coumarin derivatives could potentially reduce the growth of tumour mass. Moreover, their use as (combination) therapy in cancer treatment might have the potential of causing limited side effects.\n              \n            \n            \n              Graphic abstract","container-title":"Molecular Diversity","DOI":"10.1007/s11030-020-10082-6","ISSN":"1381-1991, 1573-501X","issue":"1","journalAbbreviation":"Mol Divers","language":"en","page":"307-321","source":"DOI.org (Crossref)","title":"Investigation of the cytotoxicity of bioinspired coumarin analogues towards human breast cancer cells","volume":"25","author":[{"family":"Gkionis","given":"Leonidas"},{"family":"Kavetsou","given":"Eleni"},{"family":"Kalospyros","given":"Alexandros"},{"family":"Manousakis","given":"Dimitris"},{"family":"Garzon Sanz","given":"Miguel"},{"family":"Butterworth","given":"Sam"},{"family":"Detsi","given":"Anastasia"},{"family":"Tirella","given":"Annalisa"}],"issued":{"date-parts":[["2021",2]]}}},{"id":715,"uris":["http://zotero.org/users/local/eLmElWd3/items/EJJ9MKHI"],"itemData":{"id":715,"type":"article-journal","container-title":"Pharmaceutical Chemistry Journal","DOI":"10.1007/s11094-023-02898-x","ISSN":"0091-150X, 1573-9031","issue":"3","journalAbbreviation":"Pharm Chem J","language":"en","page":"408-413","source":"DOI.org (Crossref)","title":"Investigation of the Toxic Effects of Galbanic Acid with Ionizing Radiation on Human Colon Cancer HT-29 Cells","volume":"57","author":[{"family":"Farahi","given":"Mojtaba"},{"family":"Hashemi","given":"Raziyeh"},{"family":"Rassouli","given":"Fatemeh Behnam"},{"family":"Iranshahi","given":"Mehrdad"},{"family":"Soleymanifard","given":"Shokouhozaman"}],"issued":{"date-parts":[["2023",6]]}}},{"id":654,"uris":["http://zotero.org/users/local/eLmElWd3/items/TA8VJCLV"],"itemData":{"id":654,"type":"article-journal","abstract":"The natural product auraptene can influence tumor cell proliferation and invasion, but its effect on hepatocellular carcinoma (HCC) cells is unknown. Here, we report that auraptene can exert anti-tumor effects in HCC cells via inhibition of cell proliferation and ferroptosis induction. Auraptene treatment induces total ROS and lipid ROS production in HCC cells to initiate ferroptosis. The cell death or cell growth inhibition of HCC cells induced by auraptene can be eliminated by the ROS scavenger NAC or GSH and ferroptosis inhibitor ferrostatin-1 or Deferoxamine Mesylate (DFO). Mechanistically, the key ferroptosis defense protein SLC7A11 is targeted for ubiquitin–proteasomal degradation by auraptene, resulting in ferroptosis of HCC cells. Importantly, low doses of auraptene can sensitize HCC cells to ferroptosis induced by RSL3 and cystine deprivation. These findings demonstrate a critical mechanism by which auraptene exhibits anti-HCC effects via ferroptosis induction and provides a possible therapeutic strategy for HCC by using auraptene or in combination with other ferroptosis inducers.","container-title":"Antioxidants","DOI":"10.3390/antiox13081015","ISSN":"2076-3921","issue":"8","journalAbbreviation":"Antioxidants","language":"en","license":"https://creativecommons.org/licenses/by/4.0/","page":"1015","source":"DOI.org (Crossref)","title":"Natural Product Auraptene Targets SLC7A11 for Degradation and Induces Hepatocellular Carcinoma Ferroptosis","volume":"13","author":[{"family":"Li","given":"Donglin"},{"family":"Li","given":"Yingping"},{"family":"Chen","given":"Liangjie"},{"family":"Gao","given":"Chengchang"},{"family":"Dai","given":"Bolei"},{"family":"Yu","given":"Wenjia"},{"family":"Yang","given":"Haoying"},{"family":"Pi","given":"Junxiang"},{"family":"Bian","given":"Xueli"}],"issued":{"date-parts":[["2024",8,20]]}}},{"id":638,"uris":["http://zotero.org/users/local/eLmElWd3/items/WERJRNPI"],"itemData":{"id":638,"type":"article-journal","abstract":"Abstract\n            The aim of this study is to devise, prepare and characterize nano encapsulated auraptene (AUR) and evaluate cytotoxic and apoptotic effects on HT-29 colon cancer cells. Herein, AUR nano formulations were prepared by triblock (PCL-PEG-PCL) and pentablock (PLA-PCL-PEG-PCL-PLA) biodegradable copolymers in order to increase AUR bioavailability as an anticancer agent. The preparation of nano particles (NPs) was done with rotor stator homogenization (RSH) and Ultrasonic homogenization (USH) methods. The physicochemical characteristics of prepared nanoparticles (NPs) were studied using HNMR, FTIR, GPC, DLS and SEM techniques. The smaller hydrodynamic size (110 nm) and polydispersity index (PDI: 0.288) as well as higher cellular uptake (89%) were observed in PB NPs rather than TB NPs. The highest cytotoxic and apoptotic effects were observed in AUR loaded PB NPs compared to AUR loaded TB NPs and free AUR obtained by MTT assay, cell cycle arrest, Annexin V-FITC, DAPI staining and RT-PCR techniques. Real time PCR results indicated that Bax /Bcl2 expression ratio as an apoptosis predicting criterion, in free AUR, AUR loaded TB and AUR loaded PB have increased 6, 9 and 13 times, respectively (p value &lt; 0.05). In conclusion, using biodegradable nano-vehicles for sustained delivery of natural anti-cancer compounds may open new perspectives for treatment of cancer patients.","container-title":"Scientific Reports","DOI":"10.1038/s41598-020-58527-0","ISSN":"2045-2322","issue":"1","journalAbbreviation":"Sci Rep","language":"en","page":"1606","source":"DOI.org (Crossref)","title":"Novel nano-vehicle for delivery and efficiency of anticancer auraptene against colon cancer cells","volume":"10","author":[{"family":"Jalilzadeh","given":"Nazila"},{"family":"Samadi","given":"Naser"},{"family":"Salehi","given":"Roya"},{"family":"Dehghan","given":"Gholamreza"},{"family":"Iranshahi","given":"Mehrdad"},{"family":"Dadpour","given":"Mohammad Reza"},{"family":"Hamishehkar","given":"Hamed"}],"issued":{"date-parts":[["2020",1,31]]}}},{"id":665,"uris":["http://zotero.org/users/local/eLmElWd3/items/672PV2FX"],"itemData":{"id":665,"type":"article-journal","abstract":"Abstract\n            \n              Prostate cancer (PCa) is one of the most prevalent non‐drug delivery system cutaneous malignancies. Undoubtedly, introducing novel treatment options to achieve higher therapeutic index will be worthwhile. In this study, we report for the first time, a novel targeted self‐assembled based on PEG‐PLA nanoparticles (PEG‐PLA NPs) containing galbanic acid (GBA) and docetaxel, which was targeted using ((\n              S\n              )‐2‐(3‐((\n              S\n              )‐5‐amino‐1‐carboxypentyl) ureido) pentanedioic acid (ACUPA), a small molecule inhibitor targeting prostate‐specific membrane antigen (PSMA), in prostate cancer cell line. The prepared NPs were characterized by different analytical methods. The MTT assay was used to compare the anti‐proliferation of drugs‐loaded PEG‐PLA NPs and ACUPA‐PEG‐PLA against LNCaP (PSMA\n              +\n              ) and PC3 (PSMA\n              −\n              ) cells. PEG‐PLA NPs with an average size of 130–140 nm had an enhanced release of GBA and docetaxel at pH 5.5 compared with pH 7.5. Spectrofluorometric analysis suggested that ACUPA‐modified PEG‐PLA could effectively enhance the drug uptake in PSMA\n              +\n              prostate cancer cells. Cytotoxicity studies showed that the targeted NPs loaded with different concentrations of GBA and fixed concentration of docetaxel (4 nM) have shown higher toxicity (IC\n              50\n              30 ± 3 µM) than both free GBA (80 ± 4.5 µM) and nontargeted NPs (IC\n              50\n              40 ± 4.6 µM) in LNCaP cells. Collectively, these findings suggest that ACUPA‐conjugated PEG‐PLA nanosystem containing GBA and docetaxel is a viable delivery carrier for various cancer‐targeting PSMA that suffer from short circulation half‐life and limited therapeutic efficacy.","container-title":"Journal of Cellular Physiology","DOI":"10.1002/jcp.29339","ISSN":"0021-9541, 1097-4652","issue":"5","journalAbbreviation":"Journal Cellular Physiology","language":"en","page":"4618-4630","source":"DOI.org (Crossref)","title":"PEG‐PLA nanoparticles decorated with small‐molecule PSMA ligand for targeted delivery of galbanic acid and docetaxel to prostate cancer cells","volume":"235","author":[{"family":"Afsharzadeh","given":"Maryam"},{"family":"Hashemi","given":"Maryam"},{"family":"Babaei","given":"Maryam"},{"family":"Abnous","given":"Khalil"},{"family":"Ramezani","given":"Mohammad"}],"issued":{"date-parts":[["2020",5]]}}},{"id":632,"uris":["http://zotero.org/users/local/eLmElWd3/items/JQA629JZ"],"itemData":{"id":632,"type":"article-journal","abstract":"A series of five naturally occurring oxyprenylated phenylpropanoids, namely, the coumarins auraptene (7-geranyloxycoumarin) 1 and 7-isopentenyloxycoumarin 2, and the coumaric acid and ferulic acid derivatives, 4’-isopentenyloxycoumaric acid 3, boropinic acid 4, and 4’-geranyloxyferulic acid 5 were tested for their effects on mitochondrial functionality using the organophosphate pesticides glyphosate and chlorpyrifos, and resveratrol, as the reference. While not showing an appreciable in vitro antioxidant activity, and virtually no or a little effect on the viability of non-cancer cell lines BEAS-2B and SHSY-5Y, all phytochemicals exhibited a marked protective effect on mitochondrial potential and activity, with values that were comparable to resveratrol. Auraptene 1 and 7-isopentenyloxycoumarin 2 were seen to be the most effective secondary metabolite to this concern, in particular in being able to completely abolish the decrease of mitochondrial potential induced by increasing concentration of both glyphosate and chlorpyrifos. All the compounds tested also exhibited a protective effect on mitochondrial activity. The potency displayed will shed more light on the molecular basis of the beneficial effects of auraptene, 7-isopentenyloxycoumarin, and structurally related oxyprenylated phenylpropanoids reported to date in the literature.","container-title":"Antioxidants","DOI":"10.3390/antiox12020259","ISSN":"2076-3921","issue":"2","journalAbbreviation":"Antioxidants","language":"en","license":"https://creativecommons.org/licenses/by/4.0/","page":"259","source":"DOI.org (Crossref)","title":"Protection of Mitochondrial Potential and Activity by Oxyprenylated Phenylpropanoids","volume":"12","author":[{"family":"Epifano","given":"Francesco"},{"family":"Genovese","given":"Salvatore"},{"family":"Palumbo","given":"Lucia"},{"family":"Collevecchio","given":"Chiara"},{"family":"Fiorito","given":"Serena"}],"issued":{"date-parts":[["2023",1,23]]}}},{"id":663,"uris":["http://zotero.org/users/local/eLmElWd3/items/S9K5INR3"],"itemData":{"id":663,"type":"article-journal","abstract":"Dietary phytochemicals, including nobiletin and auraptene, have been shown to exert inhibiting effects in several chemically induced carcinogenesis models. We here investigated the influence of nobiletin and auraptene on prostate carcinogenesis using transgenic rats developing adenocarcinoma of the prostate (TRAP) bearing the SV40 T antigen transgene under control of the probasin promoter and human prostate cancer cells. Starting at 5 weeks of age, male TRAP rats received powder diet containing 500 p.p.m. nobiletin or auraptene, or the basal diet for 15 weeks and then were sacrificed for analysis of serum testosterone levels and histological changes. The body and relative prostate weights and serum testosterone levels did not differ among the groups. Since all animals developed prostate carcinomas, these were semiquantitatively measured and expressed as relative areas of prostate epithelial cells. Nobiletin caused significant reduction in the ventral (\n              P &lt;\n               0.01), lateral (\n              P &lt;\n               0.001) and dorsal (\n              P &lt;\n               0.05) prostate lobes, while decreasing high grade lesions (\n              P &lt;\n               0.05) in the ventral and lateral lobes. Feeding of auraptene also effectively reduced the epithelial component (\n              P &lt;\n               0.05) and high grade lesions (\n              P &lt;\n               0.05), in the lateral prostate. A further experiment demonstrated that growth of androgen sensitive LNCaP and androgen insensitive DU145 and PC3 human prostate cancer cells, was suppressed by both nobiletin and to a lesser extent auraptene in a dose‐dependent manner, with significant increase in apoptosis. In conclusion, these compounds, particularly nobiletin, may be valuable for prostate cancer prevention. (\n              Cancer Sci\n              2007; 98: 471–477)","container-title":"Cancer Science","DOI":"10.1111/j.1349-7006.2007.00417.x","ISSN":"1347-9032, 1349-7006","issue":"4","journalAbbreviation":"Cancer Science","language":"en","license":"http://onlinelibrary.wiley.com/termsAndConditions#vor","page":"471-477","source":"DOI.org (Crossref)","title":"Protective effects of citrus nobiletin and auraptene in transgenic rats developing adenocarcinoma of the prostate (TRAP) and human prostate carcinoma cells","volume":"98","author":[{"family":"Tang","given":"MingXi"},{"family":"Ogawa","given":"Kumiko"},{"family":"Asamoto","given":"Makoto"},{"family":"Hokaiwado","given":"Naomi"},{"family":"Seeni","given":"Azman"},{"family":"Suzuki","given":"Shugo"},{"family":"Takahashi","given":"Satoru"},{"family":"Tanaka","given":"Takuji"},{"family":"Ichikawa","given":"Kazuhito"},{"family":"Shirai","given":"Tomoyuki"}],"issued":{"date-parts":[["2007",4]]}}},{"id":627,"uris":["http://zotero.org/users/local/eLmElWd3/items/UNBK2WNX"],"itemData":{"id":627,"type":"article-journal","abstract":"Objectives\n              Adult T-cell leukemia/lymphoma (ATLL) is a blood neoplasm with specific geographic distribution. Although radiotherapy is a palliative treatment that provides long-term local control, single use of radiation leads to complications for patients. To introduce a novel multimodal approach against ATLL, we investigated combinatorial effects of 7-geranyloxycoumarin and radiation in vitro.\n            \n            \n              Methods\n              Viability of MT-2 cells was determined by resazurin assay upon administration of 7-geranyloxycoumarin alone and followed by radiation. Then, apoptosis was detected by annexin V and propidium iodide, and the expression of candidate genes was analyzed by qPCR.\n            \n            \n              Results\n              Findings revealed significant (P&lt;.0001) improvement in radiation effects upon 7-geranyloxycoumarin pretreatment, most notably when cells were pretreated with 5 µg/ml 7-geranyloxycoumarin for 96 h, exposed to 6 Gy radiation and recovered for 48 h. These results were confirmed by flow cytometry, as the percentage of early and late apoptotic cells was increased after combinatorial treatment. In addition, significant (P&lt; .0001) changes in CD44, c-MYC, cFLIPL, BMI-1, NF-κB ( Rel A), and P53 expression was induced by 7-geranyloxycoumarin and radiation.\n            \n            \n              Conclusions\n              Current research indicated, for the first time, that combinatorial use of 7-geranyloxycoumarin and ionizing radiation could be considered as an effective therapeutic modality for ATLL.","container-title":"Dose-Response","DOI":"10.1177/15593258221124479","ISSN":"1559-3258, 1559-3258","issue":"3","journalAbbreviation":"Dose-Response","language":"en","page":"15593258221124479","source":"DOI.org (Crossref)","title":"Radiation Response of Human Leukemia/Lymphoma Cells was Improved by 7-Geranyloxycoumarin","volume":"20","author":[{"family":"Bagheri","given":"Ramin"},{"family":"Rassouli","given":"Fatemeh B."},{"family":"Gholamhosseinian","given":"Hamid"},{"family":"Ebrahimi","given":"Keyhan"},{"family":"Mahdavi","given":"Shakiba"},{"family":"Goudarzi","given":"Sajad"},{"family":"Iranshahi","given":"Mehrdad"},{"family":"Rafatpanah","given":"Houshang"},{"family":"Keramati","given":"Mohammad Reza"}],"issued":{"date-parts":[["2022",7]]}}},{"id":425,"uris":["http://zotero.org/users/local/eLmElWd3/items/HQGCP84U"],"itemData":{"id":425,"type":"article-journal","abstract":"(1) Malignant melanomas are dangerous skin cancers, and the treatment of melanomas with various cytostatic drugs often causes side effects and after their prolonged use resistance to these drugs appears. The aim of this study was to evaluate the anticancer effects of esculetin (a simple coumarin) and to assess pharmacodynamic interactions between esculetin and six commonly used cytostatic drugs (cisplatin, epirubicin, docetaxel, paclitaxel, mitoxantrone and vemurafenib) using an isobolographic analysis. (2) The experiments were carried out on four human malignant melanoma cell lines (FM55P, A375, FM55M2 and SK-MEL28). The effects of esculetin on viability, cell proliferation and cytotoxicity were verified in the range of concentrations of 2–200 μM. (3) Esculetin inhibited, in a dose-dependent manner, malignant melanoma cell viability and proliferation. The IC50 for esculetin ranged from 18.20 ± 2.93 to 120.64 ± 30.39 μM depending on the melanoma cell lines used. The combinations of esculetin with epirubicin and vemurafenib showed antagonistic interactions, the combinations of esculetin with cisplatin, docetaxel and paclitaxel showed additive interactions. For the combinations of esculetin with mitoxantrone, the isobolographic analysis displayed synergy. (4) In the treatment of malignant melanoma, esculetin should not be combined with epirubicin or vemurafenib, due to the reduction of their anticancer effects, while the synergistic interactions (esculetin + mitoxantrone) deserve a preclinical recommendation as a beneficial combination during anticancer therapy.","container-title":"Molecules","DOI":"10.3390/molecules28093889","ISSN":"1420-3049","issue":"9","journalAbbreviation":"Molecules","language":"en","license":"https://creativecommons.org/licenses/by/4.0/","page":"3889","source":"DOI.org (Crossref)","title":"Synergy, Additivity and Antagonism between Esculetin and Six Commonly Used Chemotherapeutics in Various Malignant Melanoma Cell Lines—An Isobolographic Analysis","volume":"28","author":[{"family":"Wróblewska-Łuczka","given":"Paula"},{"family":"Góralczyk","given":"Agnieszka"},{"family":"Łuszczki","given":"Jarogniew J."}],"issued":{"date-parts":[["2023",5,5]]}}},{"id":466,"uris":["http://zotero.org/users/local/eLmElWd3/items/VS9B8NUT"],"itemData":{"id":466,"type":"article-journal","abstract":"Altered expression of a cytosolic flavoenzyme NAD(P)H:quinone oxidoreductase-1 (NQO1) has been seen in many human tumors. Its remarkable overexpression in cholangiocarcinoma (CCA; an aggressive malignancy of the biliary duct system) was associated with poor prognosis and short survival of the patients. Inhibition of NQO1 has been proposed as a potential strategy to improve the efficacy of anticancer drugs in various cancers including CCA. This study investigated novel NQO1 inhibitors and verified the mechanisms of their enzyme inhibition. Among the different chemical classes of natural NQO1 inhibitors are coumarins, flavonoids, and triterpenoids. Coumarins are a group of particularly potent NQO1 inhibitors. The mechanisms and kinetics of enzyme inhibition of coumarin, aesculetin, umbelliferone, and scopoletin using the cell lysates as a source of NQO1 enzyme best fit with an uncompetitive inhibition model. Among the NOQ1 inhibitors tested in KKU-100 CCA cells, scopoletin and umbelliferone had the strongest inhibitory effect on this enzyme, while aesculetin and coumarin barely affected intracellular NQO1. All coumarins were further tested for cytotoxicity and anti-migration activity. At modest cytotoxic doses, scopoletin and umbelliferone greatly inhibited the migration of KKU-100 cells, whereas coumarin and aesculetin barely reduced cell migration. The anti-migration effect of scopoletin was associated with decreased ratio of matrix metalloproteinase 9/tissue inhibitors of metalloproteinases 1 ( MMP9/ TIMP1) mRNA. These findings suggest that natural compounds with potent inhibitory effect on intracellular NQO1 have useful anti-migration effects on CCA cells. In order to prove that the potent NQO1 inhibitor, scopoletin, is clinically useful in the enhancement of CCA treatment, additional in vivo studies to elucidate the mechanism of these effects are needed.","container-title":"Integrative Cancer Therapies","DOI":"10.1177/1534735418820444","ISSN":"1534-7354, 1552-695X","journalAbbreviation":"Integr Cancer Ther","language":"en","page":"153473541882044","source":"DOI.org (Crossref)","title":"The Inhibition Kinetics and Potential Anti-Migration Activity of NQO1 Inhibitory Coumarins on Cholangiocarcinoma Cells","volume":"18","author":[{"family":"Khunluck","given":"Tueanjai"},{"family":"Kukongviriyapan","given":"Veerapol"},{"family":"Senggunprai","given":"Laddawan"},{"family":"Duangarsong","given":"Wutthipong"},{"family":"Prawan","given":"Auemduan"}],"issued":{"date-parts":[["2019",1]]}}},{"id":620,"uris":["http://zotero.org/users/local/eLmElWd3/items/NA72X2G9"],"itemData":{"id":620,"type":"article-journal","abstract":"Chronic lymphocytic leukemia (CLL) remains an incurable disease that requires innovative new approaches to improve therapeutic outcome. Many Ferula species, including F. asa-foetida, synthesize terpenyloxy coumarins. One of these coumarins is umbelliprenin, which has been implicated with induction of apoptosis in some cancer cell lines. , In this study induction of apoptosis by umbelliprenin on Jurkat T-CLL and Raji B-CLL cell lines was studied. In this regard, cells were incubated with various concentrations of umbelliprenin in-vitro for different times and assayed for apoptosis with annexin V–FITC/PI double staining flowcytometry method. Results showed that umbelliprenin induced apoptosis in leukemic cells in a dose- and time-dependent manner and that CLL cells were more susceptible to umbelliprenin induced cell death than normal peripheral blood mononuclear cell (PBMCs)., Moreover, we study the induction of apoptosis in Jurkat cells by umbelliprenin in the presence of interleukin 4 (IL-4) as an agent that causes resistance to apoptosis in CLL cells, was also student. We showed that IL-4 can not reduce apoptotic effect of umbelliprenin., The preferential toxicity of umbelliprenin for CLL cells, supports the hypothesis that oral administration of umbelliprenin in the form of foods or folk medicines containing this coumarin, might enhance protection against the development of CLL in man with little side effects. In conclusion, umbelliprenin may be an effective therapeutic agent in the treatment of CLL, and thus clinical studies with umbelliprenin may be appropriate.","container-title":"Iranian Journal of Pharmaceutical Research : IJPR","ISSN":"1735-0328","issue":"2","journalAbbreviation":"Iran J Pharm Res","note":"PMID: 24250490\nPMCID: PMC3832171","page":"653-659","source":"PubMed Central","title":"Umbelliprenin Induces Apoptosis in CLL Cell Lines","volume":"11","author":[{"family":"Ziai","given":"Seyed Ali"},{"family":"Gholami","given":"Omid"},{"family":"Iranshahi","given":"Mehrdad"},{"family":"Zamani","given":"Amir Hassan"},{"family":"Jeddi-Tehrani","given":"Mahmood"}],"issued":{"date-parts":[["2012"]]}}},{"id":607,"uris":["http://zotero.org/users/local/eLmElWd3/items/ZCSF2PUA"],"itemData":{"id":607,"type":"article-journal","abstract":"Abstract\n            \n              Background\n              Umbelliprenin is a natural compound, belonging to the class of sesquiterpene coumarins. Recently, umbelliprenin has attracted the researchers' attention for its antitumor activities against skin tumors. Its effect on lung cancer is largely unknown. The aim of our study was to investigate the effects of this natural compound, which is expected to have low adverse effects, on lung cancer.\n            \n            \n              Methods\n              \n                The QU-DB large cell and A549 adenocarcinoma lung cancer cell lines were treated with umbelliprenin. IC\n                50\n                values were estimated using methyl thiazolely diphenyl-tetrazolium bromide (MTT) assay, in which a decrease in MTT reduction can occur as a result of cell death or cell proliferation inhibition. To quantify the rate of cell death at IC\n                50\n                values, flow cytometry using Annexin V-FITC (for apoptotic cells), and propidium iodide (for necrotic cells) dyes were employed.\n              \n            \n            \n              Results\n              \n                Data from three independent MTT experiments in triplicate revealed that IC\n                50\n                values for QU-DB and A549 were 47 ± 5.3 μM and 52 ± 1.97 μM, respectively. Annexin V/PI staining demonstrated that umbelliprenin treatment at IC\n                50\n                induced 50% cell death in QU-DB cells, but produced no significant death in A549 cells until increasing the umbelliprenin concentration to IC\n                80\n                . The pattern of cell death was predominantly apoptosis in both cell lines. When peripheral blood mononuclear cells were treated with 50 μM and less concentrations of umbelliprenin, no suppressive effect was observed.\n              \n            \n            \n              Conclusions\n              We found cytotoxic/anti-proliferative effects of umbelliprenin against two different types of lung cancer cell lines.","container-title":"DARU Journal of Pharmaceutical Sciences","DOI":"10.1186/2008-2231-20-69","ISSN":"2008-2231","issue":"1","journalAbbreviation":"DARU J Pharm Sci","language":"en","page":"69","source":"DOI.org (Crossref)","title":"Umbelliprenin is cytotoxic against QU-DB large cell lung cancer cell line but anti-proliferative against A549 adenocarcinoma cells","volume":"20","author":[{"family":"Khaghanzadeh","given":"Narges"},{"family":"Mojtahedi","given":"Zahra"},{"family":"Ramezani","given":"Mohammad"},{"family":"Erfani","given":"Nasrollah"},{"family":"Ghaderi","given":"Abbas"}],"issued":{"date-parts":[["2012",12]]}}},{"id":612,"uris":["http://zotero.org/users/local/eLmElWd3/items/58P85TKQ"],"itemData":{"id":612,"type":"article-journal","container-title":"Iranian Red Crescent Medical Journal","DOI":"10.5812/ircmj.35167","ISSN":"2074-1804, 2074-1812","issue":"7","journalAbbreviation":"Iran Red Crescent Med J","source":"DOI.org (Crossref)","title":"Umbelliprenin is Potentially Toxic Against the HT29, CT26, MCF-7, 4T1, A172, and GL26 Cell Lines, Potentially Harmful Against Bone Marrow-Derived Stem Cells, and Non-Toxic Against Peripheral Blood Mononuclear Cells","URL":"https://archive.ircmj.com/article/18/7/16837-pdf.pdf","volume":"18","author":[{"family":"Rashidi","given":"Mohsen"},{"family":"Ziai","given":"Seyed Ali"},{"family":"Moini Zanjani","given":"Taraneh"},{"family":"Khalilnezhad","given":"Ahad"},{"family":"Jamshidi","given":"Hamidreza"},{"family":"Amani","given":"Davar"}],"accessed":{"date-parts":[["2024",12,1]]},"issued":{"date-parts":[["2016",5,14]]}}},{"id":618,"uris":["http://zotero.org/users/local/eLmElWd3/items/UI5F5VXK"],"itemData":{"id":618,"type":"article-journal","container-title":"PLOS ONE","DOI":"10.1371/journal.pone.0207169","ISSN":"1932-6203","issue":"7","journalAbbreviation":"PLoS ONE","language":"en","page":"e0207169","source":"DOI.org (Crossref)","title":"Umbelliprenin isolated from Ferula sinkiangensis inhibits tumor growth and migration through the disturbance of Wnt signaling pathway in gastric cancer","volume":"14","author":[{"family":"Zhang","given":"Lijing"},{"family":"Sun","given":"Xiaobo"},{"family":"Si","given":"Jianyong"},{"family":"Li","given":"Guangzhi"},{"family":"Cao","given":"Li"}],"editor":[{"family":"Hsieh","given":"Yi-Hsien"}],"issued":{"date-parts":[["2019",7,1]]}}},{"id":825,"uris":["http://zotero.org/users/local/eLmElWd3/items/V768966J"],"itemData":{"id":825,"type":"article-journal","abstract":"Background:\n              Galbanic acid (GBA) is a sesquiterpene coumarin with valuable pharmacological effects.\nAdult T-cell lymphoma (ATL) is an aggressive lymphoid malignancy with a low survival rate. Although arsenic trioxide\n(ATO) is a standard therapeutic agent for ATL treatment, the efficacy of chemotherapy is limited due to the chemoresistance\nof cells.\n            \n            \n              Objective:\n              The present study was carried out to investigate whether GBA in combination with ATO would improve\ncytotoxicity against ATL cells.\n            \n            \n              Methods:\n              GBA was isolated from the roots of Ferula szowitsiana by column chromatography on silica gel. MT-2 cells\nwere treated with 20 μM GBA + 4 μM ATO, and viability was evaluated by alamarBlue assay. The cell cycle was\nanalyzed by PI staining, while the activity of P-glycoprotein (P-gp) was evaluated by mitoxantrone efflux assay. To\nunderstand the molecular mechanisms of GBA effects, the expression of NF-κB (RelA), P53, CDK4, c-MYC, c-FLIPL,\nand c-FLIPS was evaluated using real-time PCR.\n            \n            \n              Results:\n              Combinatorial use of GBA + ATO significantly reduced the viability of MT-2 cells and induced cell cycle\narrest in the sub-G1 phase. GBA improved mitoxantrone accumulation in cells, indicating that this agent has inhibitory\neffects on the functionality of the P-gp efflux pump. Moreover, real-time PCR analysis revealed that GBA + ATO\nnegatively regulated the expression of P53, CDK4, c-FLIPL, and c-FLIPS.\n            \n            \n              Conclusion:\n              Due to the interesting effects of GBA on the accumulation and toxicity of ATO, combinatorial use of\nthese agents could be considered a new therapeutic approach for ATL treatment.","container-title":"Anti-Cancer Agents in Medicinal Chemistry","DOI":"10.2174/1871520622666220722105802","ISSN":"18715206","issue":"6","journalAbbreviation":"ACAMC","language":"en","page":"699-708","source":"DOI.org (Crossref)","title":"Galbanic Acid Improves Accumulation and Toxicity of Arsenic Trioxide in MT-2Cells","volume":"23","author":[{"family":"Mahdifar","given":"Maryam"},{"family":"Rassouli","given":"Fatemeh B."},{"family":"Iranshahi","given":"Mehrdad"},{"family":"Goudarzi","given":"Sajad"},{"family":"Golizadeh","given":"Marzieh"},{"family":"Rafatpanah","given":"Houshang"}],"issued":{"date-parts":[["2023",4]]}}},{"id":827,"uris":["http://zotero.org/users/local/eLmElWd3/items/DQ5DZMAG"],"itemData":{"id":827,"type":"article-journal","abstract":"ABSTRACT\n            \n              Background:\n              Gastric adenocarcinoma (GA) is a serious malignancy with growing incidence and mortality rate worldwide. The objective of the present study was to determine whether 7-geranyloxycoumarin, a natural monoterpene coumarin, could induce anticancer effects, in single use and/or in combination with anticancer drugs and ionizing radiation, on GA cells.\n            \n            \n              Materials and Methods:\n              7-geranyloxycoumarin was synthesized by a reaction between 7-hydroxycoumarin and transgeranyl bromide. MKN45 cells were treated with 7-geranyloxycoumarin, and the viability of cells was determined by resazurin. Apoptosis was then evaluated by flow cytometric analysis using annexin V and propidium iodide, and the expression of P53 and BCL2 was analyzed by quantitative polymerase chain reaction (qPCR). Combinatorial effects of 7-geranyloxycoumarin with 5-fluorouracil (5-FU), cisplatin (CDDP), and X radiation were also evaluated.\n            \n            \n              Results:\n              Assessment of cell viability indicated that 7-geranyloxycoumarin induced its toxic effects in a time- and dose-dependent manner. This was confirmed by the detection of apoptotic cells, and qPCR results revealed a significant downregulation in BCL2 expression. Although combinatorial use of 7-geranyloxycoumarin + 5-FU or + CDDP did not improve cytotoxicity of anticancer drugs, significant increase in the effectiveness of applied radiations was detected upon pretreatment with 7-geranyloxycoumarin.\n            \n            \n              Conclusion:\n              Our findings provide valuable insights into single and combinatorial effects of 7-geranyloxycoumarin on the GA cells.","container-title":"Journal of Cancer Research and Therapeutics","DOI":"10.4103/jcrt.jcrt_701_21","ISSN":"0973-1482, 1998-4138","issue":"3","language":"en","page":"590-594","source":"DOI.org (Crossref)","title":"7-geranyloxycoumarin enhanced radiotherapy effects on human gastric adenocarcinoma cells","volume":"19","author":[{"family":"Movaffagh","given":"Jebraeel"},{"family":"Salari","given":"Hamide"},{"family":"Merajifar","given":"Elahe"},{"family":"Hosseinian","given":"Hamid Gholam"},{"family":"Shahroodi","given":"Azadeh"},{"family":"Iranshahi","given":"Mehrdad"},{"family":"Rassouli","given":"Fatemeh B."}],"issued":{"date-parts":[["2023",4]]}}}],"schema":"https://github.com/citation-style-language/schema/raw/master/csl-citation.json"}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14,16–18,21,24,30–61,61–86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w:t>
      </w:r>
    </w:p>
    <w:p>
      <w:pPr>
        <w:pStyle w:val="Normal"/>
        <w:spacing w:before="240" w:after="0"/>
        <w:jc w:val="both"/>
        <w:rPr>
          <w:rFonts w:ascii="Times New Roman" w:hAnsi="Times New Roman" w:cs="Times New Roman"/>
          <w:color w:val="00B050"/>
        </w:rPr>
      </w:pPr>
      <w:r>
        <w:rPr>
          <w:rFonts w:cs="Times New Roman" w:ascii="Times New Roman" w:hAnsi="Times New Roman"/>
          <w:color w:val="00B050"/>
        </w:rPr>
        <w:t>Figure 3a depicts a treemap visualizing the distribution of the five coumarin types: Esculetin is demonstrated to be the most prevalent, comprising 34.4% (267 entries), followed by umbelliprenin at 26.1% (203 entries), auraptene at 21.2% (165 entries), and galbanic acid at 18.3% (142 entries). Figure 3b illustrates a treemap representing the prevalence of various cancer types. Colon is shown to be the most common, representing 19.6% (152 cases), followed by prostate at 13.6% (106 cases), Breast at 11.2% (87 cases), and Lung at 10.8% (84 cases).</w:t>
      </w:r>
    </w:p>
    <w:p>
      <w:pPr>
        <w:pStyle w:val="Normal"/>
        <w:spacing w:before="240" w:after="0"/>
        <w:jc w:val="both"/>
        <w:rPr>
          <w:rFonts w:ascii="Times New Roman" w:hAnsi="Times New Roman" w:eastAsia="Times New Roman" w:cs="Times New Roman"/>
          <w:color w:val="00B050"/>
          <w:lang w:val="en-US"/>
        </w:rPr>
      </w:pPr>
      <w:r>
        <w:rPr>
          <w:rFonts w:eastAsia="Times New Roman" w:cs="Times New Roman" w:ascii="Times New Roman" w:hAnsi="Times New Roman"/>
          <w:color w:val="00B050"/>
          <w:lang w:val="en-US"/>
        </w:rPr>
        <w:t xml:space="preserve">Figure 4 illustrates the feature importance for each coumarin and for each machine learning model. In most models, Dose consistently shows the highest importance. Cancer Type generally ranks second, highlighting its substantial contribution to the predictions. Time appears last, indicating that its effect on the outcomes is smaller compared to Dose and Cancer Type. </w:t>
      </w:r>
    </w:p>
    <w:p>
      <w:pPr>
        <w:pStyle w:val="Normal"/>
        <w:spacing w:before="240" w:after="0"/>
        <w:jc w:val="both"/>
        <w:rPr>
          <w:rFonts w:ascii="Times New Roman" w:hAnsi="Times New Roman" w:cs="Times New Roman"/>
          <w:color w:val="00B050"/>
          <w:lang w:bidi="fa-IR"/>
        </w:rPr>
      </w:pPr>
      <w:r>
        <w:rPr>
          <w:rFonts w:cs="Times New Roman" w:ascii="Times New Roman" w:hAnsi="Times New Roman"/>
          <w:color w:val="00B050"/>
          <w:lang w:bidi="fa-IR"/>
        </w:rPr>
        <w:t>Figure 5 presents bubble plots elucidating the relationship between dose (µM) and cell viability (%) for four coumarins—esculetin, galbanic acid, umbelliprenin, and auraptene (a–d). A color gradient denotes treatment duration, with lighter hues indicating longer exposures. A dashed line highlights the 50% viability threshold, a critical target for dose optimization. For esculetin, the 50% viability is observed at approximately 100, 75 and 60 µM after 24, 48 and 72 h, respectively. Galbanic acid reaches the threshold at around 100, 65 and 50 µM after 24, 48 and 72, respectively.  Similarly, umbelliprenin achieves the 50% viability threshold at about 100, 70 and 50 µM after 24, 48 and 72 h, respectively. Auraptene also demonstrates a similar trend, with the threshold reached at approximately 100, 75 and 50 µM after 24, 48 and 72 h, respectively.</w:t>
      </w:r>
    </w:p>
    <w:p>
      <w:pPr>
        <w:pStyle w:val="Normal"/>
        <w:spacing w:before="240" w:after="0"/>
        <w:jc w:val="both"/>
        <w:rPr>
          <w:rFonts w:ascii="Times New Roman" w:hAnsi="Times New Roman" w:cs="Times New Roman"/>
          <w:color w:val="00B050"/>
          <w:lang w:val="en-US" w:bidi="fa-IR"/>
        </w:rPr>
      </w:pPr>
      <w:r>
        <w:rPr>
          <w:rFonts w:cs="Times New Roman" w:ascii="Times New Roman" w:hAnsi="Times New Roman"/>
          <w:color w:val="00B050"/>
          <w:lang w:val="en-US" w:bidi="fa-IR"/>
        </w:rPr>
        <w:t>Figure 6 presents dose-response curves illustrating the effect of various compounds on cell viability at different time points (24, 48, and 72 h). Each subplot (a–l) represents the viability percentage (%) as a function of the compound dose (µM). The black dots indicate experimental data points, while multiple regression models, including Exponential Decay, Logarithmic Decay, Inverse Function, Linear Regression, Huber Regression, Quantile Regression, and theil</w:t>
      </w:r>
      <w:r>
        <w:rPr>
          <w:rFonts w:cs="Times New Roman" w:ascii="Times New Roman" w:hAnsi="Times New Roman"/>
          <w:color w:val="00B050"/>
          <w:lang w:val="en-US"/>
        </w:rPr>
        <w:t>-sen estimator</w:t>
      </w:r>
      <w:r>
        <w:rPr>
          <w:rFonts w:cs="Times New Roman" w:ascii="Times New Roman" w:hAnsi="Times New Roman"/>
          <w:color w:val="00B050"/>
          <w:lang w:val="en-US" w:bidi="fa-IR"/>
        </w:rPr>
        <w:t xml:space="preserve"> illustrate the dose-response relationship. As shown, because of the high variability in the data and the limited number of points, the fitted curves often do not align well with the observed trends (e.g. Fig. 6a), necessitating a more complex model for better accuracy.</w:t>
      </w:r>
    </w:p>
    <w:p>
      <w:pPr>
        <w:pStyle w:val="NormalWeb"/>
        <w:spacing w:before="280" w:after="280"/>
        <w:rPr>
          <w:color w:val="00B050"/>
          <w:sz w:val="22"/>
          <w:szCs w:val="22"/>
        </w:rPr>
      </w:pPr>
      <w:r>
        <w:rPr>
          <w:color w:val="00B050"/>
          <w:sz w:val="22"/>
          <w:szCs w:val="22"/>
        </w:rPr>
        <w:t>We illustrate the predicted optimal dose and exposure time required to achieve approximately 50% cell viability for each coumarin and cancer type, based on all four machine-learning (ML) models, in Fig. 7. To ensure robustness against outlier predictions from individual models, we used a Weighted Median aggregation approach, which consolidates the predictions of Cat Boost Regressor, Hist Gradient Boosting Regressor, Random Forest Regressor, and the Voting Regressor (Cat Boost, XGBoost, LGBM). These models exhibit distinct functional behaviors and may perform differently depending on the underlying coumarin–cancer interaction, reflecting the heterogeneous and nonlinear response patterns across cancer types. Owing to this variability, the Weighted Median approach was applied to aggregate the predictions from the four ML models, producing a more stable and reliable estimate of the dose and exposure time required to reach 50% viability.</w:t>
      </w:r>
    </w:p>
    <w:p>
      <w:pPr>
        <w:pStyle w:val="NormalWeb"/>
        <w:spacing w:before="280" w:after="280"/>
        <w:rPr>
          <w:color w:val="00B050"/>
          <w:sz w:val="22"/>
          <w:szCs w:val="22"/>
        </w:rPr>
      </w:pPr>
      <w:r>
        <w:rPr>
          <w:color w:val="00B050"/>
          <w:sz w:val="22"/>
          <w:szCs w:val="22"/>
        </w:rPr>
        <w:t>The resulting Weighted Median Time and Weighted Median Dose for Esculetin, Umbelliprenin, Auraptene, and Galbanic Acid are summarized in Table 2. This approach provides the most reliable prediction by minimizing the influence of extreme or inconsistent outputs from individual ML models.</w:t>
      </w:r>
    </w:p>
    <w:p>
      <w:pPr>
        <w:pStyle w:val="NormalWeb"/>
        <w:spacing w:before="280" w:after="280"/>
        <w:rPr>
          <w:color w:val="00B050"/>
          <w:sz w:val="22"/>
          <w:szCs w:val="22"/>
        </w:rPr>
      </w:pPr>
      <w:r>
        <w:rPr>
          <w:color w:val="00B050"/>
          <w:sz w:val="22"/>
          <w:szCs w:val="22"/>
        </w:rPr>
        <w:t>Prediction reliability was further evaluated using Gaussian Mixture Models (GMM), which effectively distinguish high- and low-reliability predictions without requiring predefined thresholds. The reliability cutoffs were 19.83, 18.47, 26.66, and 18.1 for Esculetin, Galbanic Acid, Umbelliprenin, and Auraptene, respectively.</w:t>
      </w:r>
    </w:p>
    <w:p>
      <w:pPr>
        <w:pStyle w:val="NormalWeb"/>
        <w:spacing w:before="280" w:after="280"/>
        <w:rPr>
          <w:sz w:val="22"/>
          <w:szCs w:val="22"/>
        </w:rPr>
      </w:pPr>
      <w:r>
        <w:rPr>
          <w:color w:val="00B050"/>
          <w:sz w:val="22"/>
          <w:szCs w:val="22"/>
        </w:rPr>
        <w:t>For a comprehensive evaluation, Tables 3 report the performance of all 4 ML models for Esculetin, Galbanic Acid, Umbelliprenin, and Auraptene, respectively.</w:t>
      </w:r>
    </w:p>
    <w:p>
      <w:pPr>
        <w:pStyle w:val="Normal"/>
        <w:spacing w:before="240" w:after="0"/>
        <w:jc w:val="both"/>
        <w:rPr>
          <w:rFonts w:ascii="Times New Roman" w:hAnsi="Times New Roman" w:cs="Times New Roman"/>
          <w:color w:val="FFC000"/>
        </w:rPr>
      </w:pPr>
      <w:r>
        <w:rPr>
          <w:rFonts w:cs="Times New Roman" w:ascii="Times New Roman" w:hAnsi="Times New Roman"/>
          <w:color w:val="FFC000"/>
        </w:rPr>
        <w:t>To verify the ML model predictions, experimental studies were performed on a human colon carcinoma cell line that was not included in the dataset. Interestingly, the determined IC</w:t>
      </w:r>
      <w:r>
        <w:rPr>
          <w:rFonts w:cs="Times New Roman" w:ascii="Times New Roman" w:hAnsi="Times New Roman"/>
          <w:color w:val="FFC000"/>
          <w:vertAlign w:val="subscript"/>
        </w:rPr>
        <w:t>50</w:t>
      </w:r>
      <w:r>
        <w:rPr>
          <w:rFonts w:cs="Times New Roman" w:ascii="Times New Roman" w:hAnsi="Times New Roman"/>
          <w:color w:val="FFC000"/>
        </w:rPr>
        <w:t xml:space="preserve"> values for auraptene on LoVo cells were found to be 112.2 µM, 67 µM, and 57.6 µM after 24, 48, and 72 h of treatment, respectively. This experimental finding was consistent with the GBR predictions, which indicated IC</w:t>
      </w:r>
      <w:r>
        <w:rPr>
          <w:rFonts w:cs="Times New Roman" w:ascii="Times New Roman" w:hAnsi="Times New Roman"/>
          <w:color w:val="FFC000"/>
          <w:vertAlign w:val="subscript"/>
        </w:rPr>
        <w:t>50</w:t>
      </w:r>
      <w:r>
        <w:rPr>
          <w:rFonts w:cs="Times New Roman" w:ascii="Times New Roman" w:hAnsi="Times New Roman"/>
          <w:color w:val="FFC000"/>
        </w:rPr>
        <w:t xml:space="preserve"> values of 130.6 µM, 81.63 µM, and 48.9 µM for human colon cancer cells at those same time points. { ADD NEW EXPRIMETNAL FINDING}</w:t>
      </w:r>
    </w:p>
    <w:p>
      <w:pPr>
        <w:pStyle w:val="Normal"/>
        <w:spacing w:before="240" w:after="0"/>
        <w:jc w:val="both"/>
        <w:rPr>
          <w:rFonts w:ascii="Times New Roman" w:hAnsi="Times New Roman" w:cs="Times New Roman"/>
          <w:b/>
        </w:rPr>
      </w:pPr>
      <w:r>
        <w:rPr>
          <w:rFonts w:cs="Times New Roman" w:ascii="Times New Roman" w:hAnsi="Times New Roman"/>
          <w:b/>
        </w:rPr>
        <w:t>4. Discussion</w:t>
      </w:r>
    </w:p>
    <w:p>
      <w:pPr>
        <w:pStyle w:val="Normal"/>
        <w:spacing w:before="240" w:after="0"/>
        <w:jc w:val="both"/>
        <w:rPr>
          <w:rFonts w:ascii="Times New Roman" w:hAnsi="Times New Roman" w:cs="Times New Roman"/>
          <w:bCs/>
        </w:rPr>
      </w:pPr>
      <w:r>
        <w:rPr>
          <w:rFonts w:cs="Times New Roman" w:ascii="Times New Roman" w:hAnsi="Times New Roman"/>
          <w:bCs/>
        </w:rPr>
        <w:t>Escalating cancer statistics necessitate innovative and effective treatments that address limitations such as toxicity and poor selectivity. Plant-derived agents, particularly coumarins, hold significant promise due to their potential for enhanced efficacy and reduced side effects compared to synthetic alternatives. This resurgence of interest in natural agents offers a compelling strategy to complement existing cancer therapies. In tandem, ML is revolutionizing cancer research by identifying novel therapeutic agents and optimizing treatment strategies. Advanced models enable precise target identification, drug dose optimization, and improved administration schedules, thus enhancing efficacy while minimizing adverse effects. Together, these approaches are paving the way for a new era of medical oncology, and this research contributes a comprehensive framework for evaluating the anticancer potential of coumarins, underscoring their promising role in modern cancer treatment.</w:t>
      </w:r>
    </w:p>
    <w:p>
      <w:pPr>
        <w:pStyle w:val="Normal"/>
        <w:spacing w:before="240" w:after="0"/>
        <w:jc w:val="both"/>
        <w:rPr>
          <w:rFonts w:ascii="Times New Roman" w:hAnsi="Times New Roman" w:cs="Times New Roman"/>
          <w:bCs/>
        </w:rPr>
      </w:pPr>
      <w:r>
        <w:rPr>
          <w:rFonts w:cs="Times New Roman" w:ascii="Times New Roman" w:hAnsi="Times New Roman"/>
          <w:bCs/>
        </w:rPr>
        <w:t>A GBR model was employed to predict the optimal dose and duration for several natural coumarins to achieve a 50% target cell viability. This predictive approach offers an efficient method for identifying effective treatment parameters across various cancer types. Furthermore, the study revealed a notable similarity in the anticancer properties of the coumarins investigated, with esculetin, galbanic acid, umbelliprenin, and auraptene demonstrating consistent dose-response relationships potentially applicable across different cancers. However, limited experimental data for scopoletin posed challenges, impacting the precision of its dose-response predictions.</w:t>
      </w:r>
    </w:p>
    <w:p>
      <w:pPr>
        <w:pStyle w:val="Normal"/>
        <w:spacing w:before="240" w:after="0"/>
        <w:jc w:val="both"/>
        <w:rPr>
          <w:rFonts w:ascii="Times New Roman" w:hAnsi="Times New Roman" w:cs="Times New Roman"/>
          <w:bCs/>
        </w:rPr>
      </w:pPr>
      <w:r>
        <w:rPr>
          <w:rFonts w:cs="Times New Roman" w:ascii="Times New Roman" w:hAnsi="Times New Roman"/>
          <w:bCs/>
        </w:rPr>
        <w:t>To validate the ML model predictions, we conducted experimental studies on LoVo cells, a human colon carcinoma cell line not included in the original dataset. This choice was made due to limitations in coumarin extraction and cell line availability. Viability assays were performed on LoVo cells treated with auraptene over three consequent time points. The experimentally determined IC</w:t>
      </w:r>
      <w:r>
        <w:rPr>
          <w:rFonts w:cs="Times New Roman" w:ascii="Times New Roman" w:hAnsi="Times New Roman"/>
          <w:bCs/>
          <w:vertAlign w:val="subscript"/>
        </w:rPr>
        <w:t>50</w:t>
      </w:r>
      <w:r>
        <w:rPr>
          <w:rFonts w:cs="Times New Roman" w:ascii="Times New Roman" w:hAnsi="Times New Roman"/>
          <w:bCs/>
        </w:rPr>
        <w:t xml:space="preserve"> values for auraptene showed a decreasing trend over time, indicating increased efficacy with longer exposure. Remarkably, these experimental findings closely aligned with the GBR model predictions for human colon cancer cells at corresponding time points. This consistency between experimental results and model predictions provides strong validation for our machine learning approach, demonstrating its potential as a reliable tool for predicting coumarin efficacy in cancer research.</w:t>
      </w:r>
    </w:p>
    <w:p>
      <w:pPr>
        <w:pStyle w:val="Normal"/>
        <w:spacing w:before="240" w:after="0"/>
        <w:jc w:val="both"/>
        <w:rPr>
          <w:rFonts w:ascii="Times New Roman" w:hAnsi="Times New Roman" w:cs="Times New Roman"/>
          <w:bCs/>
        </w:rPr>
      </w:pPr>
      <w:r>
        <w:rPr>
          <w:rFonts w:cs="Times New Roman" w:ascii="Times New Roman" w:hAnsi="Times New Roman"/>
          <w:bCs/>
        </w:rPr>
        <w:t>The application of ML to predict optimal dosing regimens offers a streamlined and cost-effective approach to early-stage cancer research. By circumventing the traditional, resource-intensive process of empirical dose and time optimization, we can efficiently explore a wider range of therapeutic parameters </w:t>
      </w:r>
      <w:r>
        <w:rPr>
          <w:rFonts w:cs="Times New Roman" w:ascii="Times New Roman" w:hAnsi="Times New Roman"/>
          <w:bCs/>
          <w:i/>
          <w:iCs/>
        </w:rPr>
        <w:t>in silico</w:t>
      </w:r>
      <w:r>
        <w:rPr>
          <w:rFonts w:cs="Times New Roman" w:ascii="Times New Roman" w:hAnsi="Times New Roman"/>
          <w:bCs/>
        </w:rPr>
        <w:t>. This accelerates the identification of promising candidates for experimental validation while reducing the need for extensive preliminary testing. Consequently, resources are conserved, allowing for a greater focus on higher-level investigations, and ultimately, expediting the translation of coumarin-based treatments to clinical application.</w:t>
      </w:r>
    </w:p>
    <w:p>
      <w:pPr>
        <w:pStyle w:val="Normal"/>
        <w:spacing w:before="240" w:after="0"/>
        <w:jc w:val="both"/>
        <w:rPr>
          <w:rFonts w:ascii="Times New Roman" w:hAnsi="Times New Roman" w:cs="Times New Roman"/>
          <w:bCs/>
        </w:rPr>
      </w:pPr>
      <w:r>
        <w:rPr>
          <w:rFonts w:cs="Times New Roman" w:ascii="Times New Roman" w:hAnsi="Times New Roman"/>
          <w:bCs/>
        </w:rPr>
        <w:t>For future research, it is critical to expand the dataset, especially for underrepresented coumarins, to refine the models and increase their predictive power. Additionally, extending these findings to preclinical and clinical settings will be crucial for verifying the translational potential of these results. Moreover, by integrating other biological variables such as genetic profiles and tumor microenvironment characteristics, we can further improve the precision of cancer therapy.</w:t>
      </w:r>
    </w:p>
    <w:p>
      <w:pPr>
        <w:pStyle w:val="Normal"/>
        <w:spacing w:before="240" w:after="0"/>
        <w:jc w:val="both"/>
        <w:rPr>
          <w:rFonts w:ascii="Times New Roman" w:hAnsi="Times New Roman" w:cs="Times New Roman"/>
          <w:bCs/>
        </w:rPr>
      </w:pPr>
      <w:r>
        <w:rPr>
          <w:rFonts w:cs="Times New Roman" w:ascii="Times New Roman" w:hAnsi="Times New Roman"/>
          <w:bCs/>
        </w:rPr>
        <w:t>In conclusion, the integration of ML with natural compound research holds significant promise for advancing cancer treatment. By predicting optimal coumarin dosing and timing, this approach streamlines the development of more efficient therapies, reducing both the temporal and financial burdens of conventional research.</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Acknowledgment</w:t>
      </w:r>
    </w:p>
    <w:p>
      <w:pPr>
        <w:pStyle w:val="Normal"/>
        <w:spacing w:lineRule="auto" w:line="240" w:before="240" w:after="240"/>
        <w:jc w:val="both"/>
        <w:rPr>
          <w:rFonts w:ascii="Times New Roman" w:hAnsi="Times New Roman" w:cs="Times New Roman"/>
        </w:rPr>
      </w:pPr>
      <w:r>
        <w:rPr>
          <w:rFonts w:cs="Times New Roman" w:ascii="Times New Roman" w:hAnsi="Times New Roman"/>
        </w:rPr>
        <w:t>The authors would like to express their gratitude to Ferdowsi University of Mashhad for its valuable support.</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Funding declaration</w:t>
      </w:r>
    </w:p>
    <w:p>
      <w:pPr>
        <w:pStyle w:val="Normal"/>
        <w:spacing w:lineRule="auto" w:line="240" w:before="240" w:after="240"/>
        <w:jc w:val="both"/>
        <w:rPr>
          <w:rFonts w:ascii="Times New Roman" w:hAnsi="Times New Roman" w:cs="Times New Roman"/>
          <w:bCs/>
        </w:rPr>
      </w:pPr>
      <w:r>
        <w:rPr>
          <w:rFonts w:cs="Times New Roman" w:ascii="Times New Roman" w:hAnsi="Times New Roman"/>
          <w:bCs/>
        </w:rPr>
        <w:t>No funding.</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Data and Code Availability</w:t>
      </w:r>
    </w:p>
    <w:p>
      <w:pPr>
        <w:pStyle w:val="Normal"/>
        <w:spacing w:lineRule="auto" w:line="240" w:before="240" w:after="240"/>
        <w:jc w:val="both"/>
        <w:rPr>
          <w:rFonts w:ascii="Times New Roman" w:hAnsi="Times New Roman" w:cs="Times New Roman"/>
        </w:rPr>
      </w:pPr>
      <w:r>
        <w:rPr>
          <w:rFonts w:cs="Times New Roman" w:ascii="Times New Roman" w:hAnsi="Times New Roman"/>
        </w:rPr>
        <w:t>The data and code supporting the findings of this study are publicly accessible at:</w:t>
      </w:r>
    </w:p>
    <w:p>
      <w:pPr>
        <w:pStyle w:val="Normal"/>
        <w:spacing w:lineRule="auto" w:line="240" w:before="240" w:after="240"/>
        <w:jc w:val="both"/>
        <w:rPr>
          <w:rFonts w:ascii="Times New Roman" w:hAnsi="Times New Roman" w:cs="Times New Roman"/>
        </w:rPr>
      </w:pPr>
      <w:hyperlink r:id="rId2">
        <w:r>
          <w:rPr>
            <w:rStyle w:val="Hyperlink"/>
            <w:rFonts w:cs="Times New Roman" w:ascii="Times New Roman" w:hAnsi="Times New Roman"/>
          </w:rPr>
          <w:t>https://github.com/Sadra1381am/Enhancing-Coumarin-Therapeutics-in-Oncology-Machine-Learning-Guided-Dose-Time-Optimization</w:t>
        </w:r>
      </w:hyperlink>
      <w:r>
        <w:rPr>
          <w:rFonts w:cs="Times New Roman" w:ascii="Times New Roman" w:hAnsi="Times New Roman"/>
        </w:rPr>
        <w:t xml:space="preserve"> </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Conflict of interest</w:t>
      </w:r>
    </w:p>
    <w:p>
      <w:pPr>
        <w:pStyle w:val="Normal"/>
        <w:spacing w:lineRule="auto" w:line="240" w:before="240" w:after="240"/>
        <w:jc w:val="both"/>
        <w:rPr>
          <w:rFonts w:ascii="Times New Roman" w:hAnsi="Times New Roman" w:cs="Times New Roman"/>
        </w:rPr>
      </w:pPr>
      <w:r>
        <w:rPr>
          <w:rFonts w:cs="Times New Roman" w:ascii="Times New Roman" w:hAnsi="Times New Roman"/>
        </w:rPr>
        <w:t>The authors declare that they have no conflict of interest.</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Ethics approval and consent participate</w:t>
      </w:r>
    </w:p>
    <w:p>
      <w:pPr>
        <w:pStyle w:val="Normal"/>
        <w:spacing w:lineRule="auto" w:line="240" w:before="240" w:after="240"/>
        <w:jc w:val="both"/>
        <w:rPr>
          <w:rFonts w:ascii="Times New Roman" w:hAnsi="Times New Roman" w:cs="Times New Roman"/>
        </w:rPr>
      </w:pPr>
      <w:r>
        <w:rPr>
          <w:rFonts w:cs="Times New Roman" w:ascii="Times New Roman" w:hAnsi="Times New Roman"/>
        </w:rPr>
        <w:t>Not applicable.</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Authors’ contribution</w:t>
      </w:r>
    </w:p>
    <w:p>
      <w:pPr>
        <w:pStyle w:val="Normal"/>
        <w:spacing w:lineRule="auto" w:line="240" w:before="240" w:after="240"/>
        <w:jc w:val="both"/>
        <w:rPr>
          <w:rFonts w:ascii="Times New Roman" w:hAnsi="Times New Roman" w:cs="Times New Roman"/>
          <w:color w:val="FFC000"/>
        </w:rPr>
      </w:pPr>
      <w:r>
        <w:rPr>
          <w:rFonts w:cs="Times New Roman" w:ascii="Times New Roman" w:hAnsi="Times New Roman"/>
          <w:color w:val="FFC000"/>
        </w:rPr>
        <w:t>M. S. Moazzen focused on data extraction, synthesis, machine learning, and visualization. J.A. Nasiri provided project guidance, M. Iranshahi extracted galbanic acid, F. B. Rassouli conceptualized, performed in vitro assays, supervised the project, and revised the manuscript.</w:t>
      </w:r>
    </w:p>
    <w:p>
      <w:pPr>
        <w:pStyle w:val="Normal"/>
        <w:spacing w:lineRule="auto" w:line="240" w:before="240" w:after="0"/>
        <w:jc w:val="both"/>
        <w:rPr>
          <w:rFonts w:ascii="Times New Roman" w:hAnsi="Times New Roman" w:cs="Times New Roman"/>
          <w:b/>
        </w:rPr>
      </w:pPr>
      <w:r>
        <w:rPr>
          <w:rFonts w:cs="Times New Roman" w:ascii="Times New Roman" w:hAnsi="Times New Roman"/>
          <w:b/>
        </w:rPr>
        <w:t>References</w:t>
      </w:r>
    </w:p>
    <w:p>
      <w:pPr>
        <w:pStyle w:val="Bibliography"/>
        <w:rPr>
          <w:rFonts w:ascii="Times New Roman" w:hAnsi="Times New Roman" w:cs="Times New Roman"/>
        </w:rPr>
      </w:pPr>
      <w:r>
        <w:fldChar w:fldCharType="begin"/>
      </w:r>
      <w:r>
        <w:rPr>
          <w:rFonts w:cs="Times New Roman" w:ascii="Times New Roman" w:hAnsi="Times New Roman"/>
        </w:rPr>
        <w:instrText xml:space="preserve">ADDIN ZOTERO_BIBL {"uncited":[],"omitted":[],"custom":[]} CSL_BIBLIOGRAPHY</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rPr>
        <w:t>1.</w:t>
        <w:tab/>
        <w:t xml:space="preserve">Ma, X. &amp; Yu, H. Global burden of cancer. </w:t>
      </w:r>
      <w:r>
        <w:rPr>
          <w:rFonts w:cs="Times New Roman" w:ascii="Times New Roman" w:hAnsi="Times New Roman"/>
          <w:i/>
          <w:iCs/>
        </w:rPr>
        <w:t>Yale J. Biol. Med.</w:t>
      </w:r>
      <w:r>
        <w:rPr>
          <w:rFonts w:cs="Times New Roman" w:ascii="Times New Roman" w:hAnsi="Times New Roman"/>
        </w:rPr>
        <w:t xml:space="preserve"> </w:t>
      </w:r>
      <w:r>
        <w:rPr>
          <w:rFonts w:cs="Times New Roman" w:ascii="Times New Roman" w:hAnsi="Times New Roman"/>
          <w:b/>
          <w:bCs/>
        </w:rPr>
        <w:t>79</w:t>
      </w:r>
      <w:r>
        <w:rPr>
          <w:rFonts w:cs="Times New Roman" w:ascii="Times New Roman" w:hAnsi="Times New Roman"/>
        </w:rPr>
        <w:t>, 85–94 (2006).</w:t>
      </w:r>
    </w:p>
    <w:p>
      <w:pPr>
        <w:pStyle w:val="Bibliography"/>
        <w:rPr>
          <w:rFonts w:ascii="Times New Roman" w:hAnsi="Times New Roman" w:cs="Times New Roman"/>
        </w:rPr>
      </w:pPr>
      <w:r>
        <w:rPr>
          <w:rFonts w:cs="Times New Roman" w:ascii="Times New Roman" w:hAnsi="Times New Roman"/>
        </w:rPr>
        <w:t>2.</w:t>
        <w:tab/>
        <w:t xml:space="preserve">Thun, M. J., DeLancey, J. O., Center, M. M., Jemal, A. &amp; Ward, E. M. The global burden of cancer: priorities for prevention. </w:t>
      </w:r>
      <w:r>
        <w:rPr>
          <w:rFonts w:cs="Times New Roman" w:ascii="Times New Roman" w:hAnsi="Times New Roman"/>
          <w:i/>
          <w:iCs/>
        </w:rPr>
        <w:t>Carcinogenesis</w:t>
      </w:r>
      <w:r>
        <w:rPr>
          <w:rFonts w:cs="Times New Roman" w:ascii="Times New Roman" w:hAnsi="Times New Roman"/>
        </w:rPr>
        <w:t xml:space="preserve"> </w:t>
      </w:r>
      <w:r>
        <w:rPr>
          <w:rFonts w:cs="Times New Roman" w:ascii="Times New Roman" w:hAnsi="Times New Roman"/>
          <w:b/>
          <w:bCs/>
        </w:rPr>
        <w:t>31</w:t>
      </w:r>
      <w:r>
        <w:rPr>
          <w:rFonts w:cs="Times New Roman" w:ascii="Times New Roman" w:hAnsi="Times New Roman"/>
        </w:rPr>
        <w:t>, 100–110 (2010).</w:t>
      </w:r>
    </w:p>
    <w:p>
      <w:pPr>
        <w:pStyle w:val="Bibliography"/>
        <w:rPr>
          <w:rFonts w:ascii="Times New Roman" w:hAnsi="Times New Roman" w:cs="Times New Roman"/>
        </w:rPr>
      </w:pPr>
      <w:r>
        <w:rPr>
          <w:rFonts w:cs="Times New Roman" w:ascii="Times New Roman" w:hAnsi="Times New Roman"/>
        </w:rPr>
        <w:t>3.</w:t>
        <w:tab/>
        <w:t xml:space="preserve">The global cancer burden is growing – here’s what needs to happen. </w:t>
      </w:r>
      <w:r>
        <w:rPr>
          <w:rFonts w:cs="Times New Roman" w:ascii="Times New Roman" w:hAnsi="Times New Roman"/>
          <w:i/>
          <w:iCs/>
        </w:rPr>
        <w:t>World Economic Forum</w:t>
      </w:r>
      <w:r>
        <w:rPr>
          <w:rFonts w:cs="Times New Roman" w:ascii="Times New Roman" w:hAnsi="Times New Roman"/>
        </w:rPr>
        <w:t xml:space="preserve"> https://www.weforum.org/stories/2024/03/global-cancer-funding-shortfall/ (2024).</w:t>
      </w:r>
    </w:p>
    <w:p>
      <w:pPr>
        <w:pStyle w:val="Bibliography"/>
        <w:rPr>
          <w:rFonts w:ascii="Times New Roman" w:hAnsi="Times New Roman" w:cs="Times New Roman"/>
        </w:rPr>
      </w:pPr>
      <w:r>
        <w:rPr>
          <w:rFonts w:cs="Times New Roman" w:ascii="Times New Roman" w:hAnsi="Times New Roman"/>
        </w:rPr>
        <w:t>4.</w:t>
        <w:tab/>
        <w:t>Cancer. https://www.who.int/health-topics/cancer.</w:t>
      </w:r>
    </w:p>
    <w:p>
      <w:pPr>
        <w:pStyle w:val="Bibliography"/>
        <w:rPr>
          <w:rFonts w:ascii="Times New Roman" w:hAnsi="Times New Roman" w:cs="Times New Roman"/>
        </w:rPr>
      </w:pPr>
      <w:r>
        <w:rPr>
          <w:rFonts w:cs="Times New Roman" w:ascii="Times New Roman" w:hAnsi="Times New Roman"/>
        </w:rPr>
        <w:t>5.</w:t>
        <w:tab/>
        <w:t xml:space="preserve">Şeker Karatoprak, G. </w:t>
      </w:r>
      <w:r>
        <w:rPr>
          <w:rFonts w:cs="Times New Roman" w:ascii="Times New Roman" w:hAnsi="Times New Roman"/>
          <w:i/>
          <w:iCs/>
        </w:rPr>
        <w:t>et al.</w:t>
      </w:r>
      <w:r>
        <w:rPr>
          <w:rFonts w:cs="Times New Roman" w:ascii="Times New Roman" w:hAnsi="Times New Roman"/>
        </w:rPr>
        <w:t xml:space="preserve"> A comprehensive review on the potential of coumarin and related derivatives as multi-target therapeutic agents in the management of gynecological cancers. </w:t>
      </w:r>
      <w:r>
        <w:rPr>
          <w:rFonts w:cs="Times New Roman" w:ascii="Times New Roman" w:hAnsi="Times New Roman"/>
          <w:i/>
          <w:iCs/>
        </w:rPr>
        <w:t>Front. Pharmacol.</w:t>
      </w:r>
      <w:r>
        <w:rPr>
          <w:rFonts w:cs="Times New Roman" w:ascii="Times New Roman" w:hAnsi="Times New Roman"/>
        </w:rPr>
        <w:t xml:space="preserve"> </w:t>
      </w:r>
      <w:r>
        <w:rPr>
          <w:rFonts w:cs="Times New Roman" w:ascii="Times New Roman" w:hAnsi="Times New Roman"/>
          <w:b/>
          <w:bCs/>
        </w:rPr>
        <w:t>15</w:t>
      </w:r>
      <w:r>
        <w:rPr>
          <w:rFonts w:cs="Times New Roman" w:ascii="Times New Roman" w:hAnsi="Times New Roman"/>
        </w:rPr>
        <w:t>, 1423480 (2024).</w:t>
      </w:r>
    </w:p>
    <w:p>
      <w:pPr>
        <w:pStyle w:val="Bibliography"/>
        <w:rPr>
          <w:rFonts w:ascii="Times New Roman" w:hAnsi="Times New Roman" w:cs="Times New Roman"/>
        </w:rPr>
      </w:pPr>
      <w:r>
        <w:rPr>
          <w:rFonts w:cs="Times New Roman" w:ascii="Times New Roman" w:hAnsi="Times New Roman"/>
        </w:rPr>
        <w:t>6.</w:t>
        <w:tab/>
        <w:t xml:space="preserve">Azevedo, T. </w:t>
      </w:r>
      <w:r>
        <w:rPr>
          <w:rFonts w:cs="Times New Roman" w:ascii="Times New Roman" w:hAnsi="Times New Roman"/>
          <w:i/>
          <w:iCs/>
        </w:rPr>
        <w:t>et al.</w:t>
      </w:r>
      <w:r>
        <w:rPr>
          <w:rFonts w:cs="Times New Roman" w:ascii="Times New Roman" w:hAnsi="Times New Roman"/>
        </w:rPr>
        <w:t xml:space="preserve"> Natural products‐based antiangiogenic agents: New frontiers in cancer therapy. </w:t>
      </w:r>
      <w:r>
        <w:rPr>
          <w:rFonts w:cs="Times New Roman" w:ascii="Times New Roman" w:hAnsi="Times New Roman"/>
          <w:i/>
          <w:iCs/>
        </w:rPr>
        <w:t>Food Front.</w:t>
      </w:r>
      <w:r>
        <w:rPr>
          <w:rFonts w:cs="Times New Roman" w:ascii="Times New Roman" w:hAnsi="Times New Roman"/>
        </w:rPr>
        <w:t xml:space="preserve"> </w:t>
      </w:r>
      <w:r>
        <w:rPr>
          <w:rFonts w:cs="Times New Roman" w:ascii="Times New Roman" w:hAnsi="Times New Roman"/>
          <w:b/>
          <w:bCs/>
        </w:rPr>
        <w:t>5</w:t>
      </w:r>
      <w:r>
        <w:rPr>
          <w:rFonts w:cs="Times New Roman" w:ascii="Times New Roman" w:hAnsi="Times New Roman"/>
        </w:rPr>
        <w:t>, 2423–2466 (2024).</w:t>
      </w:r>
    </w:p>
    <w:p>
      <w:pPr>
        <w:pStyle w:val="Bibliography"/>
        <w:rPr>
          <w:rFonts w:ascii="Times New Roman" w:hAnsi="Times New Roman" w:cs="Times New Roman"/>
        </w:rPr>
      </w:pPr>
      <w:r>
        <w:rPr>
          <w:rFonts w:cs="Times New Roman" w:ascii="Times New Roman" w:hAnsi="Times New Roman"/>
        </w:rPr>
        <w:t>7.</w:t>
        <w:tab/>
        <w:t xml:space="preserve">Jenča, A. </w:t>
      </w:r>
      <w:r>
        <w:rPr>
          <w:rFonts w:cs="Times New Roman" w:ascii="Times New Roman" w:hAnsi="Times New Roman"/>
          <w:i/>
          <w:iCs/>
        </w:rPr>
        <w:t>et al.</w:t>
      </w:r>
      <w:r>
        <w:rPr>
          <w:rFonts w:cs="Times New Roman" w:ascii="Times New Roman" w:hAnsi="Times New Roman"/>
        </w:rPr>
        <w:t xml:space="preserve"> Herbal Therapies for Cancer Treatment: A Review of Phytotherapeutic Efficacy. </w:t>
      </w:r>
      <w:r>
        <w:rPr>
          <w:rFonts w:cs="Times New Roman" w:ascii="Times New Roman" w:hAnsi="Times New Roman"/>
          <w:i/>
          <w:iCs/>
        </w:rPr>
        <w:t>Biol. Targets Ther.</w:t>
      </w:r>
      <w:r>
        <w:rPr>
          <w:rFonts w:cs="Times New Roman" w:ascii="Times New Roman" w:hAnsi="Times New Roman"/>
        </w:rPr>
        <w:t xml:space="preserve"> </w:t>
      </w:r>
      <w:r>
        <w:rPr>
          <w:rFonts w:cs="Times New Roman" w:ascii="Times New Roman" w:hAnsi="Times New Roman"/>
          <w:b/>
          <w:bCs/>
        </w:rPr>
        <w:t>Volume 18</w:t>
      </w:r>
      <w:r>
        <w:rPr>
          <w:rFonts w:cs="Times New Roman" w:ascii="Times New Roman" w:hAnsi="Times New Roman"/>
        </w:rPr>
        <w:t>, 229–255 (2024).</w:t>
      </w:r>
    </w:p>
    <w:p>
      <w:pPr>
        <w:pStyle w:val="Bibliography"/>
        <w:rPr>
          <w:rFonts w:ascii="Times New Roman" w:hAnsi="Times New Roman" w:cs="Times New Roman"/>
        </w:rPr>
      </w:pPr>
      <w:r>
        <w:rPr>
          <w:rFonts w:cs="Times New Roman" w:ascii="Times New Roman" w:hAnsi="Times New Roman"/>
        </w:rPr>
        <w:t>8.</w:t>
        <w:tab/>
        <w:t xml:space="preserve">Hasan‐Abad, A. M., Atapour, A., Sobhani‐Nasab, A., Motedayyen, H. &amp; ArefNezhad, R. Plant‐Based Anticancer Compounds With a Focus on Breast Cancer. </w:t>
      </w:r>
      <w:r>
        <w:rPr>
          <w:rFonts w:cs="Times New Roman" w:ascii="Times New Roman" w:hAnsi="Times New Roman"/>
          <w:i/>
          <w:iCs/>
        </w:rPr>
        <w:t>Cancer Rep.</w:t>
      </w:r>
      <w:r>
        <w:rPr>
          <w:rFonts w:cs="Times New Roman" w:ascii="Times New Roman" w:hAnsi="Times New Roman"/>
        </w:rPr>
        <w:t xml:space="preserve"> </w:t>
      </w:r>
      <w:r>
        <w:rPr>
          <w:rFonts w:cs="Times New Roman" w:ascii="Times New Roman" w:hAnsi="Times New Roman"/>
          <w:b/>
          <w:bCs/>
        </w:rPr>
        <w:t>7</w:t>
      </w:r>
      <w:r>
        <w:rPr>
          <w:rFonts w:cs="Times New Roman" w:ascii="Times New Roman" w:hAnsi="Times New Roman"/>
        </w:rPr>
        <w:t>, e70012 (2024).</w:t>
      </w:r>
    </w:p>
    <w:p>
      <w:pPr>
        <w:pStyle w:val="Bibliography"/>
        <w:rPr>
          <w:rFonts w:ascii="Times New Roman" w:hAnsi="Times New Roman" w:cs="Times New Roman"/>
        </w:rPr>
      </w:pPr>
      <w:r>
        <w:rPr>
          <w:rFonts w:cs="Times New Roman" w:ascii="Times New Roman" w:hAnsi="Times New Roman"/>
        </w:rPr>
        <w:t>9.</w:t>
        <w:tab/>
        <w:t xml:space="preserve">Nesaragi, A. R. </w:t>
      </w:r>
      <w:r>
        <w:rPr>
          <w:rFonts w:cs="Times New Roman" w:ascii="Times New Roman" w:hAnsi="Times New Roman"/>
          <w:i/>
          <w:iCs/>
        </w:rPr>
        <w:t>et al.</w:t>
      </w:r>
      <w:r>
        <w:rPr>
          <w:rFonts w:cs="Times New Roman" w:ascii="Times New Roman" w:hAnsi="Times New Roman"/>
        </w:rPr>
        <w:t xml:space="preserve"> A comprehensive overview of coumarinyl-triazole hybrids as anticancer agents. </w:t>
      </w:r>
      <w:r>
        <w:rPr>
          <w:rFonts w:cs="Times New Roman" w:ascii="Times New Roman" w:hAnsi="Times New Roman"/>
          <w:i/>
          <w:iCs/>
        </w:rPr>
        <w:t>J. Mol. Struct.</w:t>
      </w:r>
      <w:r>
        <w:rPr>
          <w:rFonts w:cs="Times New Roman" w:ascii="Times New Roman" w:hAnsi="Times New Roman"/>
        </w:rPr>
        <w:t xml:space="preserve"> </w:t>
      </w:r>
      <w:r>
        <w:rPr>
          <w:rFonts w:cs="Times New Roman" w:ascii="Times New Roman" w:hAnsi="Times New Roman"/>
          <w:b/>
          <w:bCs/>
        </w:rPr>
        <w:t>1302</w:t>
      </w:r>
      <w:r>
        <w:rPr>
          <w:rFonts w:cs="Times New Roman" w:ascii="Times New Roman" w:hAnsi="Times New Roman"/>
        </w:rPr>
        <w:t>, 137478 (2024).</w:t>
      </w:r>
    </w:p>
    <w:p>
      <w:pPr>
        <w:pStyle w:val="Bibliography"/>
        <w:rPr>
          <w:rFonts w:ascii="Times New Roman" w:hAnsi="Times New Roman" w:cs="Times New Roman"/>
        </w:rPr>
      </w:pPr>
      <w:r>
        <w:rPr>
          <w:rFonts w:cs="Times New Roman" w:ascii="Times New Roman" w:hAnsi="Times New Roman"/>
        </w:rPr>
        <w:t>10.</w:t>
        <w:tab/>
        <w:t xml:space="preserve">Na, X. </w:t>
      </w:r>
      <w:r>
        <w:rPr>
          <w:rFonts w:cs="Times New Roman" w:ascii="Times New Roman" w:hAnsi="Times New Roman"/>
          <w:i/>
          <w:iCs/>
        </w:rPr>
        <w:t>et al.</w:t>
      </w:r>
      <w:r>
        <w:rPr>
          <w:rFonts w:cs="Times New Roman" w:ascii="Times New Roman" w:hAnsi="Times New Roman"/>
        </w:rPr>
        <w:t xml:space="preserve"> Natural products targeting ferroptosis pathways in cancer therapy (Review). </w:t>
      </w:r>
      <w:r>
        <w:rPr>
          <w:rFonts w:cs="Times New Roman" w:ascii="Times New Roman" w:hAnsi="Times New Roman"/>
          <w:i/>
          <w:iCs/>
        </w:rPr>
        <w:t>Oncol. Rep.</w:t>
      </w:r>
      <w:r>
        <w:rPr>
          <w:rFonts w:cs="Times New Roman" w:ascii="Times New Roman" w:hAnsi="Times New Roman"/>
        </w:rPr>
        <w:t xml:space="preserve"> </w:t>
      </w:r>
      <w:r>
        <w:rPr>
          <w:rFonts w:cs="Times New Roman" w:ascii="Times New Roman" w:hAnsi="Times New Roman"/>
          <w:b/>
          <w:bCs/>
        </w:rPr>
        <w:t>52</w:t>
      </w:r>
      <w:r>
        <w:rPr>
          <w:rFonts w:cs="Times New Roman" w:ascii="Times New Roman" w:hAnsi="Times New Roman"/>
        </w:rPr>
        <w:t>, 123 (2024).</w:t>
      </w:r>
    </w:p>
    <w:p>
      <w:pPr>
        <w:pStyle w:val="Bibliography"/>
        <w:rPr>
          <w:rFonts w:ascii="Times New Roman" w:hAnsi="Times New Roman" w:cs="Times New Roman"/>
        </w:rPr>
      </w:pPr>
      <w:r>
        <w:rPr>
          <w:rFonts w:cs="Times New Roman" w:ascii="Times New Roman" w:hAnsi="Times New Roman"/>
        </w:rPr>
        <w:t>11.</w:t>
        <w:tab/>
        <w:t xml:space="preserve">Choi, J., Yoo, M.-J., Park, S.-Y. &amp; Seol, J.-W. Antitumor Effects of Esculetin, a Natural Coumarin Derivative, against Canine Mammary Gland Tumor Cells by Inducing Cell Cycle Arrest and Apoptosis. </w:t>
      </w:r>
      <w:r>
        <w:rPr>
          <w:rFonts w:cs="Times New Roman" w:ascii="Times New Roman" w:hAnsi="Times New Roman"/>
          <w:i/>
          <w:iCs/>
        </w:rPr>
        <w:t>Vet. Sci.</w:t>
      </w:r>
      <w:r>
        <w:rPr>
          <w:rFonts w:cs="Times New Roman" w:ascii="Times New Roman" w:hAnsi="Times New Roman"/>
        </w:rPr>
        <w:t xml:space="preserve"> </w:t>
      </w:r>
      <w:r>
        <w:rPr>
          <w:rFonts w:cs="Times New Roman" w:ascii="Times New Roman" w:hAnsi="Times New Roman"/>
          <w:b/>
          <w:bCs/>
        </w:rPr>
        <w:t>10</w:t>
      </w:r>
      <w:r>
        <w:rPr>
          <w:rFonts w:cs="Times New Roman" w:ascii="Times New Roman" w:hAnsi="Times New Roman"/>
        </w:rPr>
        <w:t>, 84 (2023).</w:t>
      </w:r>
    </w:p>
    <w:p>
      <w:pPr>
        <w:pStyle w:val="Bibliography"/>
        <w:rPr>
          <w:rFonts w:ascii="Times New Roman" w:hAnsi="Times New Roman" w:cs="Times New Roman"/>
        </w:rPr>
      </w:pPr>
      <w:r>
        <w:rPr>
          <w:rFonts w:cs="Times New Roman" w:ascii="Times New Roman" w:hAnsi="Times New Roman"/>
        </w:rPr>
        <w:t>12.</w:t>
        <w:tab/>
        <w:t xml:space="preserve">Yin, W. </w:t>
      </w:r>
      <w:r>
        <w:rPr>
          <w:rFonts w:cs="Times New Roman" w:ascii="Times New Roman" w:hAnsi="Times New Roman"/>
          <w:i/>
          <w:iCs/>
        </w:rPr>
        <w:t>et al.</w:t>
      </w:r>
      <w:r>
        <w:rPr>
          <w:rFonts w:cs="Times New Roman" w:ascii="Times New Roman" w:hAnsi="Times New Roman"/>
        </w:rPr>
        <w:t xml:space="preserve"> Antiovarian cancer mechanism of esculetin: inducing G0/G1 arrest and apoptosis via JAK2/STAT3 signalling pathway. </w:t>
      </w:r>
      <w:r>
        <w:rPr>
          <w:rFonts w:cs="Times New Roman" w:ascii="Times New Roman" w:hAnsi="Times New Roman"/>
          <w:i/>
          <w:iCs/>
        </w:rPr>
        <w:t>J. Pharm. Pharmacol.</w:t>
      </w:r>
      <w:r>
        <w:rPr>
          <w:rFonts w:cs="Times New Roman" w:ascii="Times New Roman" w:hAnsi="Times New Roman"/>
        </w:rPr>
        <w:t xml:space="preserve"> </w:t>
      </w:r>
      <w:r>
        <w:rPr>
          <w:rFonts w:cs="Times New Roman" w:ascii="Times New Roman" w:hAnsi="Times New Roman"/>
          <w:b/>
          <w:bCs/>
        </w:rPr>
        <w:t>75</w:t>
      </w:r>
      <w:r>
        <w:rPr>
          <w:rFonts w:cs="Times New Roman" w:ascii="Times New Roman" w:hAnsi="Times New Roman"/>
        </w:rPr>
        <w:t>, 87–97 (2023).</w:t>
      </w:r>
    </w:p>
    <w:p>
      <w:pPr>
        <w:pStyle w:val="Bibliography"/>
        <w:rPr>
          <w:rFonts w:ascii="Times New Roman" w:hAnsi="Times New Roman" w:cs="Times New Roman"/>
        </w:rPr>
      </w:pPr>
      <w:r>
        <w:rPr>
          <w:rFonts w:cs="Times New Roman" w:ascii="Times New Roman" w:hAnsi="Times New Roman"/>
        </w:rPr>
        <w:t>13.</w:t>
        <w:tab/>
        <w:t xml:space="preserve">Rezoan Hossain, Md. </w:t>
      </w:r>
      <w:r>
        <w:rPr>
          <w:rFonts w:cs="Times New Roman" w:ascii="Times New Roman" w:hAnsi="Times New Roman"/>
          <w:i/>
          <w:iCs/>
        </w:rPr>
        <w:t>et al.</w:t>
      </w:r>
      <w:r>
        <w:rPr>
          <w:rFonts w:cs="Times New Roman" w:ascii="Times New Roman" w:hAnsi="Times New Roman"/>
        </w:rPr>
        <w:t xml:space="preserve"> Esculetin unveiled: Decoding its anti‐tumor potential through molecular mechanisms—A comprehensive review. </w:t>
      </w:r>
      <w:r>
        <w:rPr>
          <w:rFonts w:cs="Times New Roman" w:ascii="Times New Roman" w:hAnsi="Times New Roman"/>
          <w:i/>
          <w:iCs/>
        </w:rPr>
        <w:t>Cancer Rep.</w:t>
      </w:r>
      <w:r>
        <w:rPr>
          <w:rFonts w:cs="Times New Roman" w:ascii="Times New Roman" w:hAnsi="Times New Roman"/>
        </w:rPr>
        <w:t xml:space="preserve"> </w:t>
      </w:r>
      <w:r>
        <w:rPr>
          <w:rFonts w:cs="Times New Roman" w:ascii="Times New Roman" w:hAnsi="Times New Roman"/>
          <w:b/>
          <w:bCs/>
        </w:rPr>
        <w:t>7</w:t>
      </w:r>
      <w:r>
        <w:rPr>
          <w:rFonts w:cs="Times New Roman" w:ascii="Times New Roman" w:hAnsi="Times New Roman"/>
        </w:rPr>
        <w:t>, e1948 (2024).</w:t>
      </w:r>
    </w:p>
    <w:p>
      <w:pPr>
        <w:pStyle w:val="Bibliography"/>
        <w:rPr>
          <w:rFonts w:ascii="Times New Roman" w:hAnsi="Times New Roman" w:cs="Times New Roman"/>
        </w:rPr>
      </w:pPr>
      <w:r>
        <w:rPr>
          <w:rFonts w:cs="Times New Roman" w:ascii="Times New Roman" w:hAnsi="Times New Roman"/>
        </w:rPr>
        <w:t>14.</w:t>
        <w:tab/>
        <w:t xml:space="preserve">Sajjadi, M., Karimi, E., Oskoueian, E., Iranshahi, M. &amp; Neamati, A. Galbanic acid: Induced antiproliferation in estrogen receptor-negative breast cancer cells and enhanced cellular redox state in the human dermal fibroblasts. </w:t>
      </w:r>
      <w:r>
        <w:rPr>
          <w:rFonts w:cs="Times New Roman" w:ascii="Times New Roman" w:hAnsi="Times New Roman"/>
          <w:i/>
          <w:iCs/>
        </w:rPr>
        <w:t>J. Biochem. Mol. Toxicol.</w:t>
      </w:r>
      <w:r>
        <w:rPr>
          <w:rFonts w:cs="Times New Roman" w:ascii="Times New Roman" w:hAnsi="Times New Roman"/>
        </w:rPr>
        <w:t xml:space="preserve"> </w:t>
      </w:r>
      <w:r>
        <w:rPr>
          <w:rFonts w:cs="Times New Roman" w:ascii="Times New Roman" w:hAnsi="Times New Roman"/>
          <w:b/>
          <w:bCs/>
        </w:rPr>
        <w:t>33</w:t>
      </w:r>
      <w:r>
        <w:rPr>
          <w:rFonts w:cs="Times New Roman" w:ascii="Times New Roman" w:hAnsi="Times New Roman"/>
        </w:rPr>
        <w:t>, e22402 (2019).</w:t>
      </w:r>
    </w:p>
    <w:p>
      <w:pPr>
        <w:pStyle w:val="Bibliography"/>
        <w:rPr>
          <w:rFonts w:ascii="Times New Roman" w:hAnsi="Times New Roman" w:cs="Times New Roman"/>
        </w:rPr>
      </w:pPr>
      <w:r>
        <w:rPr>
          <w:rFonts w:cs="Times New Roman" w:ascii="Times New Roman" w:hAnsi="Times New Roman"/>
        </w:rPr>
        <w:t>15.</w:t>
        <w:tab/>
        <w:t xml:space="preserve">Shahcheraghi, S. H. </w:t>
      </w:r>
      <w:r>
        <w:rPr>
          <w:rFonts w:cs="Times New Roman" w:ascii="Times New Roman" w:hAnsi="Times New Roman"/>
          <w:i/>
          <w:iCs/>
        </w:rPr>
        <w:t>et al.</w:t>
      </w:r>
      <w:r>
        <w:rPr>
          <w:rFonts w:cs="Times New Roman" w:ascii="Times New Roman" w:hAnsi="Times New Roman"/>
        </w:rPr>
        <w:t xml:space="preserve"> Effects of Galbanic Acid on Proliferation, Migration, and Apoptosis of Glioblastoma Cells Through the PI3K/Akt/MTOR Signaling Pathway. </w:t>
      </w:r>
      <w:r>
        <w:rPr>
          <w:rFonts w:cs="Times New Roman" w:ascii="Times New Roman" w:hAnsi="Times New Roman"/>
          <w:i/>
          <w:iCs/>
        </w:rPr>
        <w:t>Curr. Mol. Pharmacol.</w:t>
      </w:r>
      <w:r>
        <w:rPr>
          <w:rFonts w:cs="Times New Roman" w:ascii="Times New Roman" w:hAnsi="Times New Roman"/>
        </w:rPr>
        <w:t xml:space="preserve"> </w:t>
      </w:r>
      <w:r>
        <w:rPr>
          <w:rFonts w:cs="Times New Roman" w:ascii="Times New Roman" w:hAnsi="Times New Roman"/>
          <w:b/>
          <w:bCs/>
        </w:rPr>
        <w:t>14</w:t>
      </w:r>
      <w:r>
        <w:rPr>
          <w:rFonts w:cs="Times New Roman" w:ascii="Times New Roman" w:hAnsi="Times New Roman"/>
        </w:rPr>
        <w:t>, 79–87 (2020).</w:t>
      </w:r>
    </w:p>
    <w:p>
      <w:pPr>
        <w:pStyle w:val="Bibliography"/>
        <w:rPr>
          <w:rFonts w:ascii="Times New Roman" w:hAnsi="Times New Roman" w:cs="Times New Roman"/>
        </w:rPr>
      </w:pPr>
      <w:r>
        <w:rPr>
          <w:rFonts w:cs="Times New Roman" w:ascii="Times New Roman" w:hAnsi="Times New Roman"/>
        </w:rPr>
        <w:t>16.</w:t>
        <w:tab/>
        <w:t xml:space="preserve">Mohtashami, L., Ghows, N., Tayarani-Najaran, Z. &amp; Iranshahi, M. Galbanic Acid-Coated Fe3O4 Magnetic Nanoparticles with Enhanced Cytotoxicity to Prostate Cancer Cells. </w:t>
      </w:r>
      <w:r>
        <w:rPr>
          <w:rFonts w:cs="Times New Roman" w:ascii="Times New Roman" w:hAnsi="Times New Roman"/>
          <w:i/>
          <w:iCs/>
        </w:rPr>
        <w:t>Planta Med.</w:t>
      </w:r>
      <w:r>
        <w:rPr>
          <w:rFonts w:cs="Times New Roman" w:ascii="Times New Roman" w:hAnsi="Times New Roman"/>
        </w:rPr>
        <w:t xml:space="preserve"> </w:t>
      </w:r>
      <w:r>
        <w:rPr>
          <w:rFonts w:cs="Times New Roman" w:ascii="Times New Roman" w:hAnsi="Times New Roman"/>
          <w:b/>
          <w:bCs/>
        </w:rPr>
        <w:t>85</w:t>
      </w:r>
      <w:r>
        <w:rPr>
          <w:rFonts w:cs="Times New Roman" w:ascii="Times New Roman" w:hAnsi="Times New Roman"/>
        </w:rPr>
        <w:t>, 169–178 (2019).</w:t>
      </w:r>
    </w:p>
    <w:p>
      <w:pPr>
        <w:pStyle w:val="Bibliography"/>
        <w:rPr>
          <w:rFonts w:ascii="Times New Roman" w:hAnsi="Times New Roman" w:cs="Times New Roman"/>
        </w:rPr>
      </w:pPr>
      <w:r>
        <w:rPr>
          <w:rFonts w:cs="Times New Roman" w:ascii="Times New Roman" w:hAnsi="Times New Roman"/>
        </w:rPr>
        <w:t>17.</w:t>
        <w:tab/>
        <w:t xml:space="preserve">Wang, H. </w:t>
      </w:r>
      <w:r>
        <w:rPr>
          <w:rFonts w:cs="Times New Roman" w:ascii="Times New Roman" w:hAnsi="Times New Roman"/>
          <w:i/>
          <w:iCs/>
        </w:rPr>
        <w:t>et al.</w:t>
      </w:r>
      <w:r>
        <w:rPr>
          <w:rFonts w:cs="Times New Roman" w:ascii="Times New Roman" w:hAnsi="Times New Roman"/>
        </w:rPr>
        <w:t xml:space="preserve"> Umbelliprenin induces autophagy and apoptosis while inhibits cancer cell stemness in pancreatic cancer cells. </w:t>
      </w:r>
      <w:r>
        <w:rPr>
          <w:rFonts w:cs="Times New Roman" w:ascii="Times New Roman" w:hAnsi="Times New Roman"/>
          <w:i/>
          <w:iCs/>
        </w:rPr>
        <w:t>Cancer Med.</w:t>
      </w:r>
      <w:r>
        <w:rPr>
          <w:rFonts w:cs="Times New Roman" w:ascii="Times New Roman" w:hAnsi="Times New Roman"/>
        </w:rPr>
        <w:t xml:space="preserve"> </w:t>
      </w:r>
      <w:r>
        <w:rPr>
          <w:rFonts w:cs="Times New Roman" w:ascii="Times New Roman" w:hAnsi="Times New Roman"/>
          <w:b/>
          <w:bCs/>
        </w:rPr>
        <w:t>12</w:t>
      </w:r>
      <w:r>
        <w:rPr>
          <w:rFonts w:cs="Times New Roman" w:ascii="Times New Roman" w:hAnsi="Times New Roman"/>
        </w:rPr>
        <w:t>, 15277–15288 (2023).</w:t>
      </w:r>
    </w:p>
    <w:p>
      <w:pPr>
        <w:pStyle w:val="Bibliography"/>
        <w:rPr>
          <w:rFonts w:ascii="Times New Roman" w:hAnsi="Times New Roman" w:cs="Times New Roman"/>
        </w:rPr>
      </w:pPr>
      <w:r>
        <w:rPr>
          <w:rFonts w:cs="Times New Roman" w:ascii="Times New Roman" w:hAnsi="Times New Roman"/>
        </w:rPr>
        <w:t>18.</w:t>
        <w:tab/>
        <w:t xml:space="preserve">Mahmoodi Khatonabadi, S. </w:t>
      </w:r>
      <w:r>
        <w:rPr>
          <w:rFonts w:cs="Times New Roman" w:ascii="Times New Roman" w:hAnsi="Times New Roman"/>
          <w:i/>
          <w:iCs/>
        </w:rPr>
        <w:t>et al.</w:t>
      </w:r>
      <w:r>
        <w:rPr>
          <w:rFonts w:cs="Times New Roman" w:ascii="Times New Roman" w:hAnsi="Times New Roman"/>
        </w:rPr>
        <w:t xml:space="preserve"> Umbelliprenin Inhibited Angiogenesis and Metastasis of MDA-MB-231 Cell Line through Downregulation of CoCl2 / EGFMediated PI3K / AKT / ERK Signaling. </w:t>
      </w:r>
      <w:r>
        <w:rPr>
          <w:rFonts w:cs="Times New Roman" w:ascii="Times New Roman" w:hAnsi="Times New Roman"/>
          <w:i/>
          <w:iCs/>
        </w:rPr>
        <w:t>Middle East J. Cancer</w:t>
      </w:r>
      <w:r>
        <w:rPr>
          <w:rFonts w:cs="Times New Roman" w:ascii="Times New Roman" w:hAnsi="Times New Roman"/>
        </w:rPr>
        <w:t xml:space="preserve"> </w:t>
      </w:r>
      <w:r>
        <w:rPr>
          <w:rFonts w:cs="Times New Roman" w:ascii="Times New Roman" w:hAnsi="Times New Roman"/>
          <w:b/>
          <w:bCs/>
        </w:rPr>
        <w:t>13</w:t>
      </w:r>
      <w:r>
        <w:rPr>
          <w:rFonts w:cs="Times New Roman" w:ascii="Times New Roman" w:hAnsi="Times New Roman"/>
        </w:rPr>
        <w:t>, (2022).</w:t>
      </w:r>
    </w:p>
    <w:p>
      <w:pPr>
        <w:pStyle w:val="Bibliography"/>
        <w:rPr>
          <w:rFonts w:ascii="Times New Roman" w:hAnsi="Times New Roman" w:cs="Times New Roman"/>
        </w:rPr>
      </w:pPr>
      <w:r>
        <w:rPr>
          <w:rFonts w:cs="Times New Roman" w:ascii="Times New Roman" w:hAnsi="Times New Roman"/>
        </w:rPr>
        <w:t>19.</w:t>
        <w:tab/>
        <w:t xml:space="preserve">Atabakhshian, R. </w:t>
      </w:r>
      <w:r>
        <w:rPr>
          <w:rFonts w:cs="Times New Roman" w:ascii="Times New Roman" w:hAnsi="Times New Roman"/>
          <w:i/>
          <w:iCs/>
        </w:rPr>
        <w:t>et al.</w:t>
      </w:r>
      <w:r>
        <w:rPr>
          <w:rFonts w:cs="Times New Roman" w:ascii="Times New Roman" w:hAnsi="Times New Roman"/>
        </w:rPr>
        <w:t xml:space="preserve"> Umbelliprenin Suppresses Angiogenesis Signaling in SKBR-3 Cell Line by Downregulation of EGF/CoCl2 -Mediated PI3K/AKT/MAPK. </w:t>
      </w:r>
      <w:r>
        <w:rPr>
          <w:rFonts w:cs="Times New Roman" w:ascii="Times New Roman" w:hAnsi="Times New Roman"/>
          <w:i/>
          <w:iCs/>
        </w:rPr>
        <w:t>Res. J. Pharmacogn.</w:t>
      </w:r>
      <w:r>
        <w:rPr>
          <w:rFonts w:cs="Times New Roman" w:ascii="Times New Roman" w:hAnsi="Times New Roman"/>
        </w:rPr>
        <w:t xml:space="preserve"> </w:t>
      </w:r>
      <w:r>
        <w:rPr>
          <w:rFonts w:cs="Times New Roman" w:ascii="Times New Roman" w:hAnsi="Times New Roman"/>
          <w:b/>
          <w:bCs/>
        </w:rPr>
        <w:t>8</w:t>
      </w:r>
      <w:r>
        <w:rPr>
          <w:rFonts w:cs="Times New Roman" w:ascii="Times New Roman" w:hAnsi="Times New Roman"/>
        </w:rPr>
        <w:t>, (2021).</w:t>
      </w:r>
    </w:p>
    <w:p>
      <w:pPr>
        <w:pStyle w:val="Bibliography"/>
        <w:rPr>
          <w:rFonts w:ascii="Times New Roman" w:hAnsi="Times New Roman" w:cs="Times New Roman"/>
        </w:rPr>
      </w:pPr>
      <w:r>
        <w:rPr>
          <w:rFonts w:cs="Times New Roman" w:ascii="Times New Roman" w:hAnsi="Times New Roman"/>
        </w:rPr>
        <w:t>20.</w:t>
        <w:tab/>
        <w:t xml:space="preserve">Shahzadi, I., Ali, Z., Baek, S. H., Mirza, B. &amp; Ahn, K. S. Assessment of the Antitumor Potential of Umbelliprenin, a Naturally Occurring Sesquiterpene Coumarin. </w:t>
      </w:r>
      <w:r>
        <w:rPr>
          <w:rFonts w:cs="Times New Roman" w:ascii="Times New Roman" w:hAnsi="Times New Roman"/>
          <w:i/>
          <w:iCs/>
        </w:rPr>
        <w:t>Biomedicines</w:t>
      </w:r>
      <w:r>
        <w:rPr>
          <w:rFonts w:cs="Times New Roman" w:ascii="Times New Roman" w:hAnsi="Times New Roman"/>
        </w:rPr>
        <w:t xml:space="preserve"> </w:t>
      </w:r>
      <w:r>
        <w:rPr>
          <w:rFonts w:cs="Times New Roman" w:ascii="Times New Roman" w:hAnsi="Times New Roman"/>
          <w:b/>
          <w:bCs/>
        </w:rPr>
        <w:t>8</w:t>
      </w:r>
      <w:r>
        <w:rPr>
          <w:rFonts w:cs="Times New Roman" w:ascii="Times New Roman" w:hAnsi="Times New Roman"/>
        </w:rPr>
        <w:t>, 126 (2020).</w:t>
      </w:r>
    </w:p>
    <w:p>
      <w:pPr>
        <w:pStyle w:val="Bibliography"/>
        <w:rPr>
          <w:rFonts w:ascii="Times New Roman" w:hAnsi="Times New Roman" w:cs="Times New Roman"/>
        </w:rPr>
      </w:pPr>
      <w:r>
        <w:rPr>
          <w:rFonts w:cs="Times New Roman" w:ascii="Times New Roman" w:hAnsi="Times New Roman"/>
        </w:rPr>
        <w:t>21.</w:t>
        <w:tab/>
        <w:t xml:space="preserve">Ebrahimi, K. </w:t>
      </w:r>
      <w:r>
        <w:rPr>
          <w:rFonts w:cs="Times New Roman" w:ascii="Times New Roman" w:hAnsi="Times New Roman"/>
          <w:i/>
          <w:iCs/>
        </w:rPr>
        <w:t>et al.</w:t>
      </w:r>
      <w:r>
        <w:rPr>
          <w:rFonts w:cs="Times New Roman" w:ascii="Times New Roman" w:hAnsi="Times New Roman"/>
        </w:rPr>
        <w:t xml:space="preserve"> Umbelliprenin improved anti-proliferative effects of ionizing radiation on adult T-cell leukemia/lymphoma cells via interaction with CDK6; an </w:t>
      </w:r>
      <w:r>
        <w:rPr>
          <w:rFonts w:cs="Times New Roman" w:ascii="Times New Roman" w:hAnsi="Times New Roman"/>
          <w:i/>
          <w:iCs/>
        </w:rPr>
        <w:t>in vitro</w:t>
      </w:r>
      <w:r>
        <w:rPr>
          <w:rFonts w:cs="Times New Roman" w:ascii="Times New Roman" w:hAnsi="Times New Roman"/>
        </w:rPr>
        <w:t xml:space="preserve"> and </w:t>
      </w:r>
      <w:r>
        <w:rPr>
          <w:rFonts w:cs="Times New Roman" w:ascii="Times New Roman" w:hAnsi="Times New Roman"/>
          <w:i/>
          <w:iCs/>
        </w:rPr>
        <w:t>in silico</w:t>
      </w:r>
      <w:r>
        <w:rPr>
          <w:rFonts w:cs="Times New Roman" w:ascii="Times New Roman" w:hAnsi="Times New Roman"/>
        </w:rPr>
        <w:t xml:space="preserve"> study. </w:t>
      </w:r>
      <w:r>
        <w:rPr>
          <w:rFonts w:cs="Times New Roman" w:ascii="Times New Roman" w:hAnsi="Times New Roman"/>
          <w:i/>
          <w:iCs/>
        </w:rPr>
        <w:t>Int. J. Immunopathol. Pharmacol.</w:t>
      </w:r>
      <w:r>
        <w:rPr>
          <w:rFonts w:cs="Times New Roman" w:ascii="Times New Roman" w:hAnsi="Times New Roman"/>
        </w:rPr>
        <w:t xml:space="preserve"> </w:t>
      </w:r>
      <w:r>
        <w:rPr>
          <w:rFonts w:cs="Times New Roman" w:ascii="Times New Roman" w:hAnsi="Times New Roman"/>
          <w:b/>
          <w:bCs/>
        </w:rPr>
        <w:t>38</w:t>
      </w:r>
      <w:r>
        <w:rPr>
          <w:rFonts w:cs="Times New Roman" w:ascii="Times New Roman" w:hAnsi="Times New Roman"/>
        </w:rPr>
        <w:t>, 03946320241287873 (2024).</w:t>
      </w:r>
    </w:p>
    <w:p>
      <w:pPr>
        <w:pStyle w:val="Bibliography"/>
        <w:rPr>
          <w:rFonts w:ascii="Times New Roman" w:hAnsi="Times New Roman" w:cs="Times New Roman"/>
        </w:rPr>
      </w:pPr>
      <w:r>
        <w:rPr>
          <w:rFonts w:cs="Times New Roman" w:ascii="Times New Roman" w:hAnsi="Times New Roman"/>
        </w:rPr>
        <w:t>22.</w:t>
        <w:tab/>
        <w:t xml:space="preserve">Ebrahimi, S., Soukhtanloo, M. &amp; Mostafavi-Pour, Z. Anti-tumor effects of Auraptene through induction of apoptosis and oxidative stress in a mouse model of colorectal cancer. </w:t>
      </w:r>
      <w:r>
        <w:rPr>
          <w:rFonts w:cs="Times New Roman" w:ascii="Times New Roman" w:hAnsi="Times New Roman"/>
          <w:i/>
          <w:iCs/>
        </w:rPr>
        <w:t>Tissue Cell</w:t>
      </w:r>
      <w:r>
        <w:rPr>
          <w:rFonts w:cs="Times New Roman" w:ascii="Times New Roman" w:hAnsi="Times New Roman"/>
        </w:rPr>
        <w:t xml:space="preserve"> </w:t>
      </w:r>
      <w:r>
        <w:rPr>
          <w:rFonts w:cs="Times New Roman" w:ascii="Times New Roman" w:hAnsi="Times New Roman"/>
          <w:b/>
          <w:bCs/>
        </w:rPr>
        <w:t>81</w:t>
      </w:r>
      <w:r>
        <w:rPr>
          <w:rFonts w:cs="Times New Roman" w:ascii="Times New Roman" w:hAnsi="Times New Roman"/>
        </w:rPr>
        <w:t>, 102004 (2023).</w:t>
      </w:r>
    </w:p>
    <w:p>
      <w:pPr>
        <w:pStyle w:val="Bibliography"/>
        <w:rPr>
          <w:rFonts w:ascii="Times New Roman" w:hAnsi="Times New Roman" w:cs="Times New Roman"/>
        </w:rPr>
      </w:pPr>
      <w:r>
        <w:rPr>
          <w:rFonts w:cs="Times New Roman" w:ascii="Times New Roman" w:hAnsi="Times New Roman"/>
        </w:rPr>
        <w:t>23.</w:t>
        <w:tab/>
        <w:t xml:space="preserve">Mousavi, S. H. </w:t>
      </w:r>
      <w:r>
        <w:rPr>
          <w:rFonts w:cs="Times New Roman" w:ascii="Times New Roman" w:hAnsi="Times New Roman"/>
          <w:i/>
          <w:iCs/>
        </w:rPr>
        <w:t>et al.</w:t>
      </w:r>
      <w:r>
        <w:rPr>
          <w:rFonts w:cs="Times New Roman" w:ascii="Times New Roman" w:hAnsi="Times New Roman"/>
        </w:rPr>
        <w:t xml:space="preserve"> Auraptene inhibits migration invasion and metastatic behavior of human malignant glioblastoma cells: An in vitro and in silico study. </w:t>
      </w:r>
      <w:r>
        <w:rPr>
          <w:rFonts w:cs="Times New Roman" w:ascii="Times New Roman" w:hAnsi="Times New Roman"/>
          <w:i/>
          <w:iCs/>
        </w:rPr>
        <w:t>Avicenna J. Phytomedicine</w:t>
      </w:r>
      <w:r>
        <w:rPr>
          <w:rFonts w:cs="Times New Roman" w:ascii="Times New Roman" w:hAnsi="Times New Roman"/>
        </w:rPr>
        <w:t xml:space="preserve"> </w:t>
      </w:r>
      <w:r>
        <w:rPr>
          <w:rFonts w:cs="Times New Roman" w:ascii="Times New Roman" w:hAnsi="Times New Roman"/>
          <w:b/>
          <w:bCs/>
        </w:rPr>
        <w:t>14</w:t>
      </w:r>
      <w:r>
        <w:rPr>
          <w:rFonts w:cs="Times New Roman" w:ascii="Times New Roman" w:hAnsi="Times New Roman"/>
        </w:rPr>
        <w:t>, (2024).</w:t>
      </w:r>
    </w:p>
    <w:p>
      <w:pPr>
        <w:pStyle w:val="Bibliography"/>
        <w:rPr>
          <w:rFonts w:ascii="Times New Roman" w:hAnsi="Times New Roman" w:cs="Times New Roman"/>
        </w:rPr>
      </w:pPr>
      <w:r>
        <w:rPr>
          <w:rFonts w:cs="Times New Roman" w:ascii="Times New Roman" w:hAnsi="Times New Roman"/>
        </w:rPr>
        <w:t>24.</w:t>
        <w:tab/>
        <w:t xml:space="preserve">Pulido-Capiz, A. </w:t>
      </w:r>
      <w:r>
        <w:rPr>
          <w:rFonts w:cs="Times New Roman" w:ascii="Times New Roman" w:hAnsi="Times New Roman"/>
          <w:i/>
          <w:iCs/>
        </w:rPr>
        <w:t>et al.</w:t>
      </w:r>
      <w:r>
        <w:rPr>
          <w:rFonts w:cs="Times New Roman" w:ascii="Times New Roman" w:hAnsi="Times New Roman"/>
        </w:rPr>
        <w:t xml:space="preserve"> Auraptene Boosts the Efficacy of the Tamoxifen Metabolites Endoxifen and 4-OH-Tamoxifen in a Chemoresistant ER+ Breast Cancer Model. </w:t>
      </w:r>
      <w:r>
        <w:rPr>
          <w:rFonts w:cs="Times New Roman" w:ascii="Times New Roman" w:hAnsi="Times New Roman"/>
          <w:i/>
          <w:iCs/>
        </w:rPr>
        <w:t>Pharmaceutics</w:t>
      </w:r>
      <w:r>
        <w:rPr>
          <w:rFonts w:cs="Times New Roman" w:ascii="Times New Roman" w:hAnsi="Times New Roman"/>
        </w:rPr>
        <w:t xml:space="preserve"> </w:t>
      </w:r>
      <w:r>
        <w:rPr>
          <w:rFonts w:cs="Times New Roman" w:ascii="Times New Roman" w:hAnsi="Times New Roman"/>
          <w:b/>
          <w:bCs/>
        </w:rPr>
        <w:t>16</w:t>
      </w:r>
      <w:r>
        <w:rPr>
          <w:rFonts w:cs="Times New Roman" w:ascii="Times New Roman" w:hAnsi="Times New Roman"/>
        </w:rPr>
        <w:t>, 1179 (2024).</w:t>
      </w:r>
    </w:p>
    <w:p>
      <w:pPr>
        <w:pStyle w:val="Bibliography"/>
        <w:rPr>
          <w:rFonts w:ascii="Times New Roman" w:hAnsi="Times New Roman" w:cs="Times New Roman"/>
        </w:rPr>
      </w:pPr>
      <w:r>
        <w:rPr>
          <w:rFonts w:cs="Times New Roman" w:ascii="Times New Roman" w:hAnsi="Times New Roman"/>
        </w:rPr>
        <w:t>25.</w:t>
        <w:tab/>
        <w:t xml:space="preserve">Shakiba, M. &amp; Rassouli, F. B. Joining up the scattered anticancer knowledge on auraptene and umbelliprenin: a meta-analysis. </w:t>
      </w:r>
      <w:r>
        <w:rPr>
          <w:rFonts w:cs="Times New Roman" w:ascii="Times New Roman" w:hAnsi="Times New Roman"/>
          <w:i/>
          <w:iCs/>
        </w:rPr>
        <w:t>Sci. Rep.</w:t>
      </w:r>
      <w:r>
        <w:rPr>
          <w:rFonts w:cs="Times New Roman" w:ascii="Times New Roman" w:hAnsi="Times New Roman"/>
        </w:rPr>
        <w:t xml:space="preserve"> </w:t>
      </w:r>
      <w:r>
        <w:rPr>
          <w:rFonts w:cs="Times New Roman" w:ascii="Times New Roman" w:hAnsi="Times New Roman"/>
          <w:b/>
          <w:bCs/>
        </w:rPr>
        <w:t>14</w:t>
      </w:r>
      <w:r>
        <w:rPr>
          <w:rFonts w:cs="Times New Roman" w:ascii="Times New Roman" w:hAnsi="Times New Roman"/>
        </w:rPr>
        <w:t>, 11770 (2024).</w:t>
      </w:r>
    </w:p>
    <w:p>
      <w:pPr>
        <w:pStyle w:val="Bibliography"/>
        <w:rPr>
          <w:rFonts w:ascii="Times New Roman" w:hAnsi="Times New Roman" w:cs="Times New Roman"/>
        </w:rPr>
      </w:pPr>
      <w:r>
        <w:rPr>
          <w:rFonts w:cs="Times New Roman" w:ascii="Times New Roman" w:hAnsi="Times New Roman"/>
        </w:rPr>
        <w:t>26.</w:t>
        <w:tab/>
        <w:t xml:space="preserve">Tayarani-Najaran, Z., Tayarani-Najaran, N. &amp; Eghbali, S. A Review of Auraptene as an Anticancer Agent. </w:t>
      </w:r>
      <w:r>
        <w:rPr>
          <w:rFonts w:cs="Times New Roman" w:ascii="Times New Roman" w:hAnsi="Times New Roman"/>
          <w:i/>
          <w:iCs/>
        </w:rPr>
        <w:t>Front. Pharmacol.</w:t>
      </w:r>
      <w:r>
        <w:rPr>
          <w:rFonts w:cs="Times New Roman" w:ascii="Times New Roman" w:hAnsi="Times New Roman"/>
        </w:rPr>
        <w:t xml:space="preserve"> </w:t>
      </w:r>
      <w:r>
        <w:rPr>
          <w:rFonts w:cs="Times New Roman" w:ascii="Times New Roman" w:hAnsi="Times New Roman"/>
          <w:b/>
          <w:bCs/>
        </w:rPr>
        <w:t>12</w:t>
      </w:r>
      <w:r>
        <w:rPr>
          <w:rFonts w:cs="Times New Roman" w:ascii="Times New Roman" w:hAnsi="Times New Roman"/>
        </w:rPr>
        <w:t>, 698352 (2021).</w:t>
      </w:r>
    </w:p>
    <w:p>
      <w:pPr>
        <w:pStyle w:val="Bibliography"/>
        <w:rPr>
          <w:rFonts w:ascii="Times New Roman" w:hAnsi="Times New Roman" w:cs="Times New Roman"/>
        </w:rPr>
      </w:pPr>
      <w:r>
        <w:rPr>
          <w:rFonts w:cs="Times New Roman" w:ascii="Times New Roman" w:hAnsi="Times New Roman"/>
        </w:rPr>
        <w:t>27.</w:t>
        <w:tab/>
        <w:t xml:space="preserve">Varlamova, E. V. </w:t>
      </w:r>
      <w:r>
        <w:rPr>
          <w:rFonts w:cs="Times New Roman" w:ascii="Times New Roman" w:hAnsi="Times New Roman"/>
          <w:i/>
          <w:iCs/>
        </w:rPr>
        <w:t>et al.</w:t>
      </w:r>
      <w:r>
        <w:rPr>
          <w:rFonts w:cs="Times New Roman" w:ascii="Times New Roman" w:hAnsi="Times New Roman"/>
        </w:rPr>
        <w:t xml:space="preserve"> Machine Learning Meets Cancer. </w:t>
      </w:r>
      <w:r>
        <w:rPr>
          <w:rFonts w:cs="Times New Roman" w:ascii="Times New Roman" w:hAnsi="Times New Roman"/>
          <w:i/>
          <w:iCs/>
        </w:rPr>
        <w:t>Cancers</w:t>
      </w:r>
      <w:r>
        <w:rPr>
          <w:rFonts w:cs="Times New Roman" w:ascii="Times New Roman" w:hAnsi="Times New Roman"/>
        </w:rPr>
        <w:t xml:space="preserve"> </w:t>
      </w:r>
      <w:r>
        <w:rPr>
          <w:rFonts w:cs="Times New Roman" w:ascii="Times New Roman" w:hAnsi="Times New Roman"/>
          <w:b/>
          <w:bCs/>
        </w:rPr>
        <w:t>16</w:t>
      </w:r>
      <w:r>
        <w:rPr>
          <w:rFonts w:cs="Times New Roman" w:ascii="Times New Roman" w:hAnsi="Times New Roman"/>
        </w:rPr>
        <w:t>, 1100 (2024).</w:t>
      </w:r>
    </w:p>
    <w:p>
      <w:pPr>
        <w:pStyle w:val="Bibliography"/>
        <w:rPr>
          <w:rFonts w:ascii="Times New Roman" w:hAnsi="Times New Roman" w:cs="Times New Roman"/>
        </w:rPr>
      </w:pPr>
      <w:r>
        <w:rPr>
          <w:rFonts w:cs="Times New Roman" w:ascii="Times New Roman" w:hAnsi="Times New Roman"/>
        </w:rPr>
        <w:t>28.</w:t>
        <w:tab/>
        <w:t xml:space="preserve">Shen, B. </w:t>
      </w:r>
      <w:r>
        <w:rPr>
          <w:rFonts w:cs="Times New Roman" w:ascii="Times New Roman" w:hAnsi="Times New Roman"/>
          <w:i/>
          <w:iCs/>
        </w:rPr>
        <w:t>et al.</w:t>
      </w:r>
      <w:r>
        <w:rPr>
          <w:rFonts w:cs="Times New Roman" w:ascii="Times New Roman" w:hAnsi="Times New Roman"/>
        </w:rPr>
        <w:t xml:space="preserve"> A systematic assessment of deep learning methods for drug response prediction: from in vitro to clinical applications. </w:t>
      </w:r>
      <w:r>
        <w:rPr>
          <w:rFonts w:cs="Times New Roman" w:ascii="Times New Roman" w:hAnsi="Times New Roman"/>
          <w:i/>
          <w:iCs/>
        </w:rPr>
        <w:t>Brief. Bioinform.</w:t>
      </w:r>
      <w:r>
        <w:rPr>
          <w:rFonts w:cs="Times New Roman" w:ascii="Times New Roman" w:hAnsi="Times New Roman"/>
        </w:rPr>
        <w:t xml:space="preserve"> </w:t>
      </w:r>
      <w:r>
        <w:rPr>
          <w:rFonts w:cs="Times New Roman" w:ascii="Times New Roman" w:hAnsi="Times New Roman"/>
          <w:b/>
          <w:bCs/>
        </w:rPr>
        <w:t>24</w:t>
      </w:r>
      <w:r>
        <w:rPr>
          <w:rFonts w:cs="Times New Roman" w:ascii="Times New Roman" w:hAnsi="Times New Roman"/>
        </w:rPr>
        <w:t>, bbac605 (2023).</w:t>
      </w:r>
    </w:p>
    <w:p>
      <w:pPr>
        <w:pStyle w:val="Bibliography"/>
        <w:rPr>
          <w:rFonts w:ascii="Times New Roman" w:hAnsi="Times New Roman" w:cs="Times New Roman"/>
        </w:rPr>
      </w:pPr>
      <w:r>
        <w:rPr>
          <w:rFonts w:cs="Times New Roman" w:ascii="Times New Roman" w:hAnsi="Times New Roman"/>
        </w:rPr>
        <w:t>29.</w:t>
        <w:tab/>
        <w:t>Rohatgi, A. WebPlotDigitizer.</w:t>
      </w:r>
    </w:p>
    <w:p>
      <w:pPr>
        <w:pStyle w:val="Bibliography"/>
        <w:rPr>
          <w:rFonts w:ascii="Times New Roman" w:hAnsi="Times New Roman" w:cs="Times New Roman"/>
        </w:rPr>
      </w:pPr>
      <w:r>
        <w:rPr>
          <w:rFonts w:cs="Times New Roman" w:ascii="Times New Roman" w:hAnsi="Times New Roman"/>
        </w:rPr>
        <w:t>30.</w:t>
        <w:tab/>
        <w:t xml:space="preserve">Hosseini, F., Ahmadi, A., Sarvi, Z. N., Iranshahi, M. &amp; Rassouli, F. B. 7-Geranyloxycoumarin modulated metastatic potential of osteosarcoma cells via interaction with MMPs and JAK1/2. </w:t>
      </w:r>
      <w:r>
        <w:rPr>
          <w:rFonts w:cs="Times New Roman" w:ascii="Times New Roman" w:hAnsi="Times New Roman"/>
          <w:i/>
          <w:iCs/>
        </w:rPr>
        <w:t>Naunyn. Schmiedebergs Arch. Pharmacol.</w:t>
      </w:r>
      <w:r>
        <w:rPr>
          <w:rFonts w:cs="Times New Roman" w:ascii="Times New Roman" w:hAnsi="Times New Roman"/>
        </w:rPr>
        <w:t xml:space="preserve"> </w:t>
      </w:r>
      <w:r>
        <w:rPr>
          <w:rFonts w:cs="Times New Roman" w:ascii="Times New Roman" w:hAnsi="Times New Roman"/>
          <w:b/>
          <w:bCs/>
        </w:rPr>
        <w:t>398</w:t>
      </w:r>
      <w:r>
        <w:rPr>
          <w:rFonts w:cs="Times New Roman" w:ascii="Times New Roman" w:hAnsi="Times New Roman"/>
        </w:rPr>
        <w:t>, 10139–10153 (2025).</w:t>
      </w:r>
    </w:p>
    <w:p>
      <w:pPr>
        <w:pStyle w:val="Bibliography"/>
        <w:rPr>
          <w:rFonts w:ascii="Times New Roman" w:hAnsi="Times New Roman" w:cs="Times New Roman"/>
        </w:rPr>
      </w:pPr>
      <w:r>
        <w:rPr>
          <w:rFonts w:cs="Times New Roman" w:ascii="Times New Roman" w:hAnsi="Times New Roman"/>
        </w:rPr>
        <w:t>31.</w:t>
        <w:tab/>
        <w:t xml:space="preserve">Ahmadi, A., Hosseini, F., Sarvi, Z. N., Iranshahi, M. &amp; Rassouli, F. B. Harnessing the metastatic potential of human osteosarcoma cells by natural coumarin galbanic acid. </w:t>
      </w:r>
      <w:r>
        <w:rPr>
          <w:rFonts w:cs="Times New Roman" w:ascii="Times New Roman" w:hAnsi="Times New Roman"/>
          <w:i/>
          <w:iCs/>
        </w:rPr>
        <w:t>Naunyn. Schmiedebergs Arch. Pharmacol.</w:t>
      </w:r>
      <w:r>
        <w:rPr>
          <w:rFonts w:cs="Times New Roman" w:ascii="Times New Roman" w:hAnsi="Times New Roman"/>
        </w:rPr>
        <w:t xml:space="preserve"> </w:t>
      </w:r>
      <w:r>
        <w:rPr>
          <w:rFonts w:cs="Times New Roman" w:ascii="Times New Roman" w:hAnsi="Times New Roman"/>
          <w:b/>
          <w:bCs/>
        </w:rPr>
        <w:t>398</w:t>
      </w:r>
      <w:r>
        <w:rPr>
          <w:rFonts w:cs="Times New Roman" w:ascii="Times New Roman" w:hAnsi="Times New Roman"/>
        </w:rPr>
        <w:t>, 12633–12646 (2025).</w:t>
      </w:r>
    </w:p>
    <w:p>
      <w:pPr>
        <w:pStyle w:val="Bibliography"/>
        <w:rPr>
          <w:rFonts w:ascii="Times New Roman" w:hAnsi="Times New Roman" w:cs="Times New Roman"/>
        </w:rPr>
      </w:pPr>
      <w:r>
        <w:rPr>
          <w:rFonts w:cs="Times New Roman" w:ascii="Times New Roman" w:hAnsi="Times New Roman"/>
        </w:rPr>
        <w:t>32.</w:t>
        <w:tab/>
        <w:t xml:space="preserve">Valiahdi, S. M., Iranshahi, M. &amp; Sahebkar, A. Cytotoxic activities of phytochemicals from Ferula species. </w:t>
      </w:r>
      <w:r>
        <w:rPr>
          <w:rFonts w:cs="Times New Roman" w:ascii="Times New Roman" w:hAnsi="Times New Roman"/>
          <w:i/>
          <w:iCs/>
        </w:rPr>
        <w:t>DARU J. Pharm. Sci.</w:t>
      </w:r>
      <w:r>
        <w:rPr>
          <w:rFonts w:cs="Times New Roman" w:ascii="Times New Roman" w:hAnsi="Times New Roman"/>
        </w:rPr>
        <w:t xml:space="preserve"> </w:t>
      </w:r>
      <w:r>
        <w:rPr>
          <w:rFonts w:cs="Times New Roman" w:ascii="Times New Roman" w:hAnsi="Times New Roman"/>
          <w:b/>
          <w:bCs/>
        </w:rPr>
        <w:t>21</w:t>
      </w:r>
      <w:r>
        <w:rPr>
          <w:rFonts w:cs="Times New Roman" w:ascii="Times New Roman" w:hAnsi="Times New Roman"/>
        </w:rPr>
        <w:t>, 39 (2013).</w:t>
      </w:r>
    </w:p>
    <w:p>
      <w:pPr>
        <w:pStyle w:val="Bibliography"/>
        <w:rPr>
          <w:rFonts w:ascii="Times New Roman" w:hAnsi="Times New Roman" w:cs="Times New Roman"/>
        </w:rPr>
      </w:pPr>
      <w:r>
        <w:rPr>
          <w:rFonts w:cs="Times New Roman" w:ascii="Times New Roman" w:hAnsi="Times New Roman"/>
        </w:rPr>
        <w:t>33.</w:t>
        <w:tab/>
        <w:t xml:space="preserve">Abolhassani, Y. </w:t>
      </w:r>
      <w:r>
        <w:rPr>
          <w:rFonts w:cs="Times New Roman" w:ascii="Times New Roman" w:hAnsi="Times New Roman"/>
          <w:i/>
          <w:iCs/>
        </w:rPr>
        <w:t>et al.</w:t>
      </w:r>
      <w:r>
        <w:rPr>
          <w:rFonts w:cs="Times New Roman" w:ascii="Times New Roman" w:hAnsi="Times New Roman"/>
        </w:rPr>
        <w:t xml:space="preserve"> 7-Geranyloxcycoumarin enhances radio sensitivity in human prostate cancer cells. </w:t>
      </w:r>
      <w:r>
        <w:rPr>
          <w:rFonts w:cs="Times New Roman" w:ascii="Times New Roman" w:hAnsi="Times New Roman"/>
          <w:i/>
          <w:iCs/>
        </w:rPr>
        <w:t>Mol. Biol. Rep.</w:t>
      </w:r>
      <w:r>
        <w:rPr>
          <w:rFonts w:cs="Times New Roman" w:ascii="Times New Roman" w:hAnsi="Times New Roman"/>
        </w:rPr>
        <w:t xml:space="preserve"> </w:t>
      </w:r>
      <w:r>
        <w:rPr>
          <w:rFonts w:cs="Times New Roman" w:ascii="Times New Roman" w:hAnsi="Times New Roman"/>
          <w:b/>
          <w:bCs/>
        </w:rPr>
        <w:t>50</w:t>
      </w:r>
      <w:r>
        <w:rPr>
          <w:rFonts w:cs="Times New Roman" w:ascii="Times New Roman" w:hAnsi="Times New Roman"/>
        </w:rPr>
        <w:t>, 5709–5717 (2023).</w:t>
      </w:r>
    </w:p>
    <w:p>
      <w:pPr>
        <w:pStyle w:val="Bibliography"/>
        <w:rPr>
          <w:rFonts w:ascii="Times New Roman" w:hAnsi="Times New Roman" w:cs="Times New Roman"/>
        </w:rPr>
      </w:pPr>
      <w:r>
        <w:rPr>
          <w:rFonts w:cs="Times New Roman" w:ascii="Times New Roman" w:hAnsi="Times New Roman"/>
        </w:rPr>
        <w:t>34.</w:t>
        <w:tab/>
        <w:t xml:space="preserve">Jun, D. Y. </w:t>
      </w:r>
      <w:r>
        <w:rPr>
          <w:rFonts w:cs="Times New Roman" w:ascii="Times New Roman" w:hAnsi="Times New Roman"/>
          <w:i/>
          <w:iCs/>
        </w:rPr>
        <w:t>et al.</w:t>
      </w:r>
      <w:r>
        <w:rPr>
          <w:rFonts w:cs="Times New Roman" w:ascii="Times New Roman" w:hAnsi="Times New Roman"/>
        </w:rPr>
        <w:t xml:space="preserve"> Apoptogenic activity of auraptene of Zanthoxylum schinifolium toward human acute leukemia Jurkat T cells is associated with ER stress-mediated caspase-8 activation that stimulates mitochondria-dependent or -independent caspase cascade. </w:t>
      </w:r>
      <w:r>
        <w:rPr>
          <w:rFonts w:cs="Times New Roman" w:ascii="Times New Roman" w:hAnsi="Times New Roman"/>
          <w:i/>
          <w:iCs/>
        </w:rPr>
        <w:t>Carcinogenesis</w:t>
      </w:r>
      <w:r>
        <w:rPr>
          <w:rFonts w:cs="Times New Roman" w:ascii="Times New Roman" w:hAnsi="Times New Roman"/>
        </w:rPr>
        <w:t xml:space="preserve"> </w:t>
      </w:r>
      <w:r>
        <w:rPr>
          <w:rFonts w:cs="Times New Roman" w:ascii="Times New Roman" w:hAnsi="Times New Roman"/>
          <w:b/>
          <w:bCs/>
        </w:rPr>
        <w:t>28</w:t>
      </w:r>
      <w:r>
        <w:rPr>
          <w:rFonts w:cs="Times New Roman" w:ascii="Times New Roman" w:hAnsi="Times New Roman"/>
        </w:rPr>
        <w:t>, 1303–1313 (2007).</w:t>
      </w:r>
    </w:p>
    <w:p>
      <w:pPr>
        <w:pStyle w:val="Bibliography"/>
        <w:rPr>
          <w:rFonts w:ascii="Times New Roman" w:hAnsi="Times New Roman" w:cs="Times New Roman"/>
        </w:rPr>
      </w:pPr>
      <w:r>
        <w:rPr>
          <w:rFonts w:cs="Times New Roman" w:ascii="Times New Roman" w:hAnsi="Times New Roman"/>
        </w:rPr>
        <w:t>35.</w:t>
        <w:tab/>
        <w:t xml:space="preserve">Epifano, F., Genovese, S., Miller, R. &amp; Majumdar, A. P. N. Auraptene and its Effects on the Re‐emergence of Colon Cancer Stem Cells. </w:t>
      </w:r>
      <w:r>
        <w:rPr>
          <w:rFonts w:cs="Times New Roman" w:ascii="Times New Roman" w:hAnsi="Times New Roman"/>
          <w:i/>
          <w:iCs/>
        </w:rPr>
        <w:t>Phytother. Res.</w:t>
      </w:r>
      <w:r>
        <w:rPr>
          <w:rFonts w:cs="Times New Roman" w:ascii="Times New Roman" w:hAnsi="Times New Roman"/>
        </w:rPr>
        <w:t xml:space="preserve"> </w:t>
      </w:r>
      <w:r>
        <w:rPr>
          <w:rFonts w:cs="Times New Roman" w:ascii="Times New Roman" w:hAnsi="Times New Roman"/>
          <w:b/>
          <w:bCs/>
        </w:rPr>
        <w:t>27</w:t>
      </w:r>
      <w:r>
        <w:rPr>
          <w:rFonts w:cs="Times New Roman" w:ascii="Times New Roman" w:hAnsi="Times New Roman"/>
        </w:rPr>
        <w:t>, 784–786 (2013).</w:t>
      </w:r>
    </w:p>
    <w:p>
      <w:pPr>
        <w:pStyle w:val="Bibliography"/>
        <w:rPr>
          <w:rFonts w:ascii="Times New Roman" w:hAnsi="Times New Roman" w:cs="Times New Roman"/>
        </w:rPr>
      </w:pPr>
      <w:r>
        <w:rPr>
          <w:rFonts w:cs="Times New Roman" w:ascii="Times New Roman" w:hAnsi="Times New Roman"/>
        </w:rPr>
        <w:t>36.</w:t>
        <w:tab/>
        <w:t xml:space="preserve">Lee, J. C. </w:t>
      </w:r>
      <w:r>
        <w:rPr>
          <w:rFonts w:cs="Times New Roman" w:ascii="Times New Roman" w:hAnsi="Times New Roman"/>
          <w:i/>
          <w:iCs/>
        </w:rPr>
        <w:t>et al.</w:t>
      </w:r>
      <w:r>
        <w:rPr>
          <w:rFonts w:cs="Times New Roman" w:ascii="Times New Roman" w:hAnsi="Times New Roman"/>
        </w:rPr>
        <w:t xml:space="preserve"> Auraptene Induces Apoptosis via Myeloid Cell Leukemia 1-Mediated Activation of Caspases in PC3 and DU145 Prostate Cancer Cells: Apoptotic Effect of Auraptene. </w:t>
      </w:r>
      <w:r>
        <w:rPr>
          <w:rFonts w:cs="Times New Roman" w:ascii="Times New Roman" w:hAnsi="Times New Roman"/>
          <w:i/>
          <w:iCs/>
        </w:rPr>
        <w:t>Phytother. Res.</w:t>
      </w:r>
      <w:r>
        <w:rPr>
          <w:rFonts w:cs="Times New Roman" w:ascii="Times New Roman" w:hAnsi="Times New Roman"/>
        </w:rPr>
        <w:t xml:space="preserve"> </w:t>
      </w:r>
      <w:r>
        <w:rPr>
          <w:rFonts w:cs="Times New Roman" w:ascii="Times New Roman" w:hAnsi="Times New Roman"/>
          <w:b/>
          <w:bCs/>
        </w:rPr>
        <w:t>31</w:t>
      </w:r>
      <w:r>
        <w:rPr>
          <w:rFonts w:cs="Times New Roman" w:ascii="Times New Roman" w:hAnsi="Times New Roman"/>
        </w:rPr>
        <w:t>, 891–898 (2017).</w:t>
      </w:r>
    </w:p>
    <w:p>
      <w:pPr>
        <w:pStyle w:val="Bibliography"/>
        <w:rPr>
          <w:rFonts w:ascii="Times New Roman" w:hAnsi="Times New Roman" w:cs="Times New Roman"/>
        </w:rPr>
      </w:pPr>
      <w:r>
        <w:rPr>
          <w:rFonts w:cs="Times New Roman" w:ascii="Times New Roman" w:hAnsi="Times New Roman"/>
        </w:rPr>
        <w:t>37.</w:t>
        <w:tab/>
        <w:t xml:space="preserve">Jamialahmadi, K. </w:t>
      </w:r>
      <w:r>
        <w:rPr>
          <w:rFonts w:cs="Times New Roman" w:ascii="Times New Roman" w:hAnsi="Times New Roman"/>
          <w:i/>
          <w:iCs/>
        </w:rPr>
        <w:t>et al.</w:t>
      </w:r>
      <w:r>
        <w:rPr>
          <w:rFonts w:cs="Times New Roman" w:ascii="Times New Roman" w:hAnsi="Times New Roman"/>
        </w:rPr>
        <w:t xml:space="preserve"> Auraptene Inhibits Migration and Invasion of Cervical and Ovarian Cancer Cells by Repression of Matrix Metalloproteinasas 2 and 9 Activity. </w:t>
      </w:r>
      <w:r>
        <w:rPr>
          <w:rFonts w:cs="Times New Roman" w:ascii="Times New Roman" w:hAnsi="Times New Roman"/>
          <w:i/>
          <w:iCs/>
        </w:rPr>
        <w:t>J. Pharmacopuncture</w:t>
      </w:r>
      <w:r>
        <w:rPr>
          <w:rFonts w:cs="Times New Roman" w:ascii="Times New Roman" w:hAnsi="Times New Roman"/>
        </w:rPr>
        <w:t xml:space="preserve"> </w:t>
      </w:r>
      <w:r>
        <w:rPr>
          <w:rFonts w:cs="Times New Roman" w:ascii="Times New Roman" w:hAnsi="Times New Roman"/>
          <w:b/>
          <w:bCs/>
        </w:rPr>
        <w:t>21</w:t>
      </w:r>
      <w:r>
        <w:rPr>
          <w:rFonts w:cs="Times New Roman" w:ascii="Times New Roman" w:hAnsi="Times New Roman"/>
        </w:rPr>
        <w:t>, 177–184 (2018).</w:t>
      </w:r>
    </w:p>
    <w:p>
      <w:pPr>
        <w:pStyle w:val="Bibliography"/>
        <w:rPr>
          <w:rFonts w:ascii="Times New Roman" w:hAnsi="Times New Roman" w:cs="Times New Roman"/>
        </w:rPr>
      </w:pPr>
      <w:r>
        <w:rPr>
          <w:rFonts w:cs="Times New Roman" w:ascii="Times New Roman" w:hAnsi="Times New Roman"/>
        </w:rPr>
        <w:t>38.</w:t>
        <w:tab/>
        <w:t xml:space="preserve">Moon, J. Y., Kim, H. &amp; Cho, S. K. Auraptene, a Major Compound of Supercritical Fluid Extract of Phalsak ( </w:t>
      </w:r>
      <w:r>
        <w:rPr>
          <w:rFonts w:cs="Times New Roman" w:ascii="Times New Roman" w:hAnsi="Times New Roman"/>
          <w:i/>
          <w:iCs/>
        </w:rPr>
        <w:t>Citrus</w:t>
      </w:r>
      <w:r>
        <w:rPr>
          <w:rFonts w:cs="Times New Roman" w:ascii="Times New Roman" w:hAnsi="Times New Roman"/>
        </w:rPr>
        <w:t xml:space="preserve"> Hassaku Hort ex Tanaka), Induces Apoptosis through the Suppression of mTOR Pathways in Human Gastric Cancer SNU-1 Cells. </w:t>
      </w:r>
      <w:r>
        <w:rPr>
          <w:rFonts w:cs="Times New Roman" w:ascii="Times New Roman" w:hAnsi="Times New Roman"/>
          <w:i/>
          <w:iCs/>
        </w:rPr>
        <w:t>Evid. Based Complement. Alternat. Med.</w:t>
      </w:r>
      <w:r>
        <w:rPr>
          <w:rFonts w:cs="Times New Roman" w:ascii="Times New Roman" w:hAnsi="Times New Roman"/>
        </w:rPr>
        <w:t xml:space="preserve"> </w:t>
      </w:r>
      <w:r>
        <w:rPr>
          <w:rFonts w:cs="Times New Roman" w:ascii="Times New Roman" w:hAnsi="Times New Roman"/>
          <w:b/>
          <w:bCs/>
        </w:rPr>
        <w:t>2015</w:t>
      </w:r>
      <w:r>
        <w:rPr>
          <w:rFonts w:cs="Times New Roman" w:ascii="Times New Roman" w:hAnsi="Times New Roman"/>
        </w:rPr>
        <w:t>, 1–10 (2015).</w:t>
      </w:r>
    </w:p>
    <w:p>
      <w:pPr>
        <w:pStyle w:val="Bibliography"/>
        <w:rPr>
          <w:rFonts w:ascii="Times New Roman" w:hAnsi="Times New Roman" w:cs="Times New Roman"/>
        </w:rPr>
      </w:pPr>
      <w:r>
        <w:rPr>
          <w:rFonts w:cs="Times New Roman" w:ascii="Times New Roman" w:hAnsi="Times New Roman"/>
        </w:rPr>
        <w:t>39.</w:t>
        <w:tab/>
        <w:t xml:space="preserve">Suthiphasilp, V. </w:t>
      </w:r>
      <w:r>
        <w:rPr>
          <w:rFonts w:cs="Times New Roman" w:ascii="Times New Roman" w:hAnsi="Times New Roman"/>
          <w:i/>
          <w:iCs/>
        </w:rPr>
        <w:t>et al.</w:t>
      </w:r>
      <w:r>
        <w:rPr>
          <w:rFonts w:cs="Times New Roman" w:ascii="Times New Roman" w:hAnsi="Times New Roman"/>
        </w:rPr>
        <w:t xml:space="preserve"> Bioactive compounds from the fruit extract of Clausena excavata Burm. f. (Rutaceae). </w:t>
      </w:r>
      <w:r>
        <w:rPr>
          <w:rFonts w:cs="Times New Roman" w:ascii="Times New Roman" w:hAnsi="Times New Roman"/>
          <w:i/>
          <w:iCs/>
        </w:rPr>
        <w:t>South Afr. J. Bot.</w:t>
      </w:r>
      <w:r>
        <w:rPr>
          <w:rFonts w:cs="Times New Roman" w:ascii="Times New Roman" w:hAnsi="Times New Roman"/>
        </w:rPr>
        <w:t xml:space="preserve"> </w:t>
      </w:r>
      <w:r>
        <w:rPr>
          <w:rFonts w:cs="Times New Roman" w:ascii="Times New Roman" w:hAnsi="Times New Roman"/>
          <w:b/>
          <w:bCs/>
        </w:rPr>
        <w:t>151</w:t>
      </w:r>
      <w:r>
        <w:rPr>
          <w:rFonts w:cs="Times New Roman" w:ascii="Times New Roman" w:hAnsi="Times New Roman"/>
        </w:rPr>
        <w:t>, 538–548 (2022).</w:t>
      </w:r>
    </w:p>
    <w:p>
      <w:pPr>
        <w:pStyle w:val="Bibliography"/>
        <w:rPr>
          <w:rFonts w:ascii="Times New Roman" w:hAnsi="Times New Roman" w:cs="Times New Roman"/>
        </w:rPr>
      </w:pPr>
      <w:r>
        <w:rPr>
          <w:rFonts w:cs="Times New Roman" w:ascii="Times New Roman" w:hAnsi="Times New Roman"/>
        </w:rPr>
        <w:t>40.</w:t>
        <w:tab/>
        <w:t xml:space="preserve">Krishnan, P. </w:t>
      </w:r>
      <w:r>
        <w:rPr>
          <w:rFonts w:cs="Times New Roman" w:ascii="Times New Roman" w:hAnsi="Times New Roman"/>
          <w:i/>
          <w:iCs/>
        </w:rPr>
        <w:t>et al.</w:t>
      </w:r>
      <w:r>
        <w:rPr>
          <w:rFonts w:cs="Times New Roman" w:ascii="Times New Roman" w:hAnsi="Times New Roman"/>
        </w:rPr>
        <w:t xml:space="preserve"> Citrus auraptene suppresses cyclin D1 and significantly delays N-methyl nitrosourea induced mammary carcinogenesis in female Sprague-Dawley rats. </w:t>
      </w:r>
      <w:r>
        <w:rPr>
          <w:rFonts w:cs="Times New Roman" w:ascii="Times New Roman" w:hAnsi="Times New Roman"/>
          <w:i/>
          <w:iCs/>
        </w:rPr>
        <w:t>BMC Cancer</w:t>
      </w:r>
      <w:r>
        <w:rPr>
          <w:rFonts w:cs="Times New Roman" w:ascii="Times New Roman" w:hAnsi="Times New Roman"/>
        </w:rPr>
        <w:t xml:space="preserve"> </w:t>
      </w:r>
      <w:r>
        <w:rPr>
          <w:rFonts w:cs="Times New Roman" w:ascii="Times New Roman" w:hAnsi="Times New Roman"/>
          <w:b/>
          <w:bCs/>
        </w:rPr>
        <w:t>9</w:t>
      </w:r>
      <w:r>
        <w:rPr>
          <w:rFonts w:cs="Times New Roman" w:ascii="Times New Roman" w:hAnsi="Times New Roman"/>
        </w:rPr>
        <w:t>, 259 (2009).</w:t>
      </w:r>
    </w:p>
    <w:p>
      <w:pPr>
        <w:pStyle w:val="Bibliography"/>
        <w:rPr>
          <w:rFonts w:ascii="Times New Roman" w:hAnsi="Times New Roman" w:cs="Times New Roman"/>
        </w:rPr>
      </w:pPr>
      <w:r>
        <w:rPr>
          <w:rFonts w:cs="Times New Roman" w:ascii="Times New Roman" w:hAnsi="Times New Roman"/>
        </w:rPr>
        <w:t>41.</w:t>
        <w:tab/>
        <w:t xml:space="preserve">Delbari, Z. </w:t>
      </w:r>
      <w:r>
        <w:rPr>
          <w:rFonts w:cs="Times New Roman" w:ascii="Times New Roman" w:hAnsi="Times New Roman"/>
          <w:i/>
          <w:iCs/>
        </w:rPr>
        <w:t>et al.</w:t>
      </w:r>
      <w:r>
        <w:rPr>
          <w:rFonts w:cs="Times New Roman" w:ascii="Times New Roman" w:hAnsi="Times New Roman"/>
        </w:rPr>
        <w:t xml:space="preserve"> Combination of Umbelliprenin and Arsenic Trioxide Acts as an Effective Modality Against T-Cell Leukemia/Lymphoma Cells. </w:t>
      </w:r>
      <w:r>
        <w:rPr>
          <w:rFonts w:cs="Times New Roman" w:ascii="Times New Roman" w:hAnsi="Times New Roman"/>
          <w:i/>
          <w:iCs/>
        </w:rPr>
        <w:t>Nat. Prod. Commun.</w:t>
      </w:r>
      <w:r>
        <w:rPr>
          <w:rFonts w:cs="Times New Roman" w:ascii="Times New Roman" w:hAnsi="Times New Roman"/>
        </w:rPr>
        <w:t xml:space="preserve"> </w:t>
      </w:r>
      <w:r>
        <w:rPr>
          <w:rFonts w:cs="Times New Roman" w:ascii="Times New Roman" w:hAnsi="Times New Roman"/>
          <w:b/>
          <w:bCs/>
        </w:rPr>
        <w:t>17</w:t>
      </w:r>
      <w:r>
        <w:rPr>
          <w:rFonts w:cs="Times New Roman" w:ascii="Times New Roman" w:hAnsi="Times New Roman"/>
        </w:rPr>
        <w:t>, 1934578X211072334 (2022).</w:t>
      </w:r>
    </w:p>
    <w:p>
      <w:pPr>
        <w:pStyle w:val="Bibliography"/>
        <w:rPr>
          <w:rFonts w:ascii="Times New Roman" w:hAnsi="Times New Roman" w:cs="Times New Roman"/>
        </w:rPr>
      </w:pPr>
      <w:r>
        <w:rPr>
          <w:rFonts w:cs="Times New Roman" w:ascii="Times New Roman" w:hAnsi="Times New Roman"/>
        </w:rPr>
        <w:t>42.</w:t>
        <w:tab/>
        <w:t xml:space="preserve">Sajad Goudarzi </w:t>
      </w:r>
      <w:r>
        <w:rPr>
          <w:rFonts w:cs="Times New Roman" w:ascii="Times New Roman" w:hAnsi="Times New Roman"/>
          <w:i/>
          <w:iCs/>
        </w:rPr>
        <w:t>et al.</w:t>
      </w:r>
      <w:r>
        <w:rPr>
          <w:rFonts w:cs="Times New Roman" w:ascii="Times New Roman" w:hAnsi="Times New Roman"/>
        </w:rPr>
        <w:t xml:space="preserve"> Comparing toxicity of galbanic acid, auraptene and umbelliprenin on adult T-cell leukaemia-lymphoma in normoxia and hypoxia. </w:t>
      </w:r>
      <w:r>
        <w:rPr>
          <w:rFonts w:cs="Times New Roman" w:ascii="Times New Roman" w:hAnsi="Times New Roman"/>
          <w:i/>
          <w:iCs/>
        </w:rPr>
        <w:t>Cell. Mol. Biol.</w:t>
      </w:r>
      <w:r>
        <w:rPr>
          <w:rFonts w:cs="Times New Roman" w:ascii="Times New Roman" w:hAnsi="Times New Roman"/>
        </w:rPr>
        <w:t xml:space="preserve"> </w:t>
      </w:r>
      <w:r>
        <w:rPr>
          <w:rFonts w:cs="Times New Roman" w:ascii="Times New Roman" w:hAnsi="Times New Roman"/>
          <w:b/>
          <w:bCs/>
        </w:rPr>
        <w:t>68</w:t>
      </w:r>
      <w:r>
        <w:rPr>
          <w:rFonts w:cs="Times New Roman" w:ascii="Times New Roman" w:hAnsi="Times New Roman"/>
        </w:rPr>
        <w:t>, 17–20 (2022).</w:t>
      </w:r>
    </w:p>
    <w:p>
      <w:pPr>
        <w:pStyle w:val="Bibliography"/>
        <w:rPr>
          <w:rFonts w:ascii="Times New Roman" w:hAnsi="Times New Roman" w:cs="Times New Roman"/>
        </w:rPr>
      </w:pPr>
      <w:r>
        <w:rPr>
          <w:rFonts w:cs="Times New Roman" w:ascii="Times New Roman" w:hAnsi="Times New Roman"/>
        </w:rPr>
        <w:t>43.</w:t>
        <w:tab/>
        <w:t xml:space="preserve">Hamidinia, M., Ramezani, M. &amp; Mojtahedi, Z. Cytotoxic/Proliferative Effects of Umbelliprenin on Colon Cancer Cell Lines. </w:t>
      </w:r>
      <w:r>
        <w:rPr>
          <w:rFonts w:cs="Times New Roman" w:ascii="Times New Roman" w:hAnsi="Times New Roman"/>
          <w:i/>
          <w:iCs/>
        </w:rPr>
        <w:t>Ann. Colorectal Res.</w:t>
      </w:r>
      <w:r>
        <w:rPr>
          <w:rFonts w:cs="Times New Roman" w:ascii="Times New Roman" w:hAnsi="Times New Roman"/>
        </w:rPr>
        <w:t xml:space="preserve"> </w:t>
      </w:r>
      <w:r>
        <w:rPr>
          <w:rFonts w:cs="Times New Roman" w:ascii="Times New Roman" w:hAnsi="Times New Roman"/>
          <w:b/>
          <w:bCs/>
        </w:rPr>
        <w:t>1</w:t>
      </w:r>
      <w:r>
        <w:rPr>
          <w:rFonts w:cs="Times New Roman" w:ascii="Times New Roman" w:hAnsi="Times New Roman"/>
        </w:rPr>
        <w:t>, 101–105 (2013).</w:t>
      </w:r>
    </w:p>
    <w:p>
      <w:pPr>
        <w:pStyle w:val="Bibliography"/>
        <w:rPr>
          <w:rFonts w:ascii="Times New Roman" w:hAnsi="Times New Roman" w:cs="Times New Roman"/>
        </w:rPr>
      </w:pPr>
      <w:r>
        <w:rPr>
          <w:rFonts w:cs="Times New Roman" w:ascii="Times New Roman" w:hAnsi="Times New Roman"/>
        </w:rPr>
        <w:t>44.</w:t>
        <w:tab/>
        <w:t xml:space="preserve">Shiran, M. R. </w:t>
      </w:r>
      <w:r>
        <w:rPr>
          <w:rFonts w:cs="Times New Roman" w:ascii="Times New Roman" w:hAnsi="Times New Roman"/>
          <w:i/>
          <w:iCs/>
        </w:rPr>
        <w:t>et al.</w:t>
      </w:r>
      <w:r>
        <w:rPr>
          <w:rFonts w:cs="Times New Roman" w:ascii="Times New Roman" w:hAnsi="Times New Roman"/>
        </w:rPr>
        <w:t xml:space="preserve"> Effect of Auraptene on angiogenesis in Xenograft model of breast cancer. </w:t>
      </w:r>
      <w:r>
        <w:rPr>
          <w:rFonts w:cs="Times New Roman" w:ascii="Times New Roman" w:hAnsi="Times New Roman"/>
          <w:i/>
          <w:iCs/>
        </w:rPr>
        <w:t>Horm. Mol. Biol. Clin. Investig.</w:t>
      </w:r>
      <w:r>
        <w:rPr>
          <w:rFonts w:cs="Times New Roman" w:ascii="Times New Roman" w:hAnsi="Times New Roman"/>
        </w:rPr>
        <w:t xml:space="preserve"> </w:t>
      </w:r>
      <w:r>
        <w:rPr>
          <w:rFonts w:cs="Times New Roman" w:ascii="Times New Roman" w:hAnsi="Times New Roman"/>
          <w:b/>
          <w:bCs/>
        </w:rPr>
        <w:t>43</w:t>
      </w:r>
      <w:r>
        <w:rPr>
          <w:rFonts w:cs="Times New Roman" w:ascii="Times New Roman" w:hAnsi="Times New Roman"/>
        </w:rPr>
        <w:t>, 7–14 (2022).</w:t>
      </w:r>
    </w:p>
    <w:p>
      <w:pPr>
        <w:pStyle w:val="Bibliography"/>
        <w:rPr>
          <w:rFonts w:ascii="Times New Roman" w:hAnsi="Times New Roman" w:cs="Times New Roman"/>
        </w:rPr>
      </w:pPr>
      <w:r>
        <w:rPr>
          <w:rFonts w:cs="Times New Roman" w:ascii="Times New Roman" w:hAnsi="Times New Roman"/>
        </w:rPr>
        <w:t>45.</w:t>
        <w:tab/>
        <w:t xml:space="preserve">Cho, J. H. </w:t>
      </w:r>
      <w:r>
        <w:rPr>
          <w:rFonts w:cs="Times New Roman" w:ascii="Times New Roman" w:hAnsi="Times New Roman"/>
          <w:i/>
          <w:iCs/>
        </w:rPr>
        <w:t>et al.</w:t>
      </w:r>
      <w:r>
        <w:rPr>
          <w:rFonts w:cs="Times New Roman" w:ascii="Times New Roman" w:hAnsi="Times New Roman"/>
        </w:rPr>
        <w:t xml:space="preserve"> Esculetin (6,7-dihydroxycoumarin): A potential cancer chemopreventive agent through suppression of Sp1 in oral squamous cancer cells. </w:t>
      </w:r>
      <w:r>
        <w:rPr>
          <w:rFonts w:cs="Times New Roman" w:ascii="Times New Roman" w:hAnsi="Times New Roman"/>
          <w:i/>
          <w:iCs/>
        </w:rPr>
        <w:t>Int. J. Oncol.</w:t>
      </w:r>
      <w:r>
        <w:rPr>
          <w:rFonts w:cs="Times New Roman" w:ascii="Times New Roman" w:hAnsi="Times New Roman"/>
        </w:rPr>
        <w:t xml:space="preserve"> </w:t>
      </w:r>
      <w:r>
        <w:rPr>
          <w:rFonts w:cs="Times New Roman" w:ascii="Times New Roman" w:hAnsi="Times New Roman"/>
          <w:b/>
          <w:bCs/>
        </w:rPr>
        <w:t>46</w:t>
      </w:r>
      <w:r>
        <w:rPr>
          <w:rFonts w:cs="Times New Roman" w:ascii="Times New Roman" w:hAnsi="Times New Roman"/>
        </w:rPr>
        <w:t>, 265–271 (2015).</w:t>
      </w:r>
    </w:p>
    <w:p>
      <w:pPr>
        <w:pStyle w:val="Bibliography"/>
        <w:rPr>
          <w:rFonts w:ascii="Times New Roman" w:hAnsi="Times New Roman" w:cs="Times New Roman"/>
        </w:rPr>
      </w:pPr>
      <w:r>
        <w:rPr>
          <w:rFonts w:cs="Times New Roman" w:ascii="Times New Roman" w:hAnsi="Times New Roman"/>
        </w:rPr>
        <w:t>46.</w:t>
        <w:tab/>
        <w:t xml:space="preserve">Lee, R. H. </w:t>
      </w:r>
      <w:r>
        <w:rPr>
          <w:rFonts w:cs="Times New Roman" w:ascii="Times New Roman" w:hAnsi="Times New Roman"/>
          <w:i/>
          <w:iCs/>
        </w:rPr>
        <w:t>et al.</w:t>
      </w:r>
      <w:r>
        <w:rPr>
          <w:rFonts w:cs="Times New Roman" w:ascii="Times New Roman" w:hAnsi="Times New Roman"/>
        </w:rPr>
        <w:t xml:space="preserve"> Esculetin exerts anti-proliferative effects against non-small-cell lung carcinoma by suppressing specificity protein 1 in vitro. </w:t>
      </w:r>
      <w:r>
        <w:rPr>
          <w:rFonts w:cs="Times New Roman" w:ascii="Times New Roman" w:hAnsi="Times New Roman"/>
          <w:i/>
          <w:iCs/>
        </w:rPr>
        <w:t>Gen. Physiol. Biophys.</w:t>
      </w:r>
      <w:r>
        <w:rPr>
          <w:rFonts w:cs="Times New Roman" w:ascii="Times New Roman" w:hAnsi="Times New Roman"/>
        </w:rPr>
        <w:t xml:space="preserve"> </w:t>
      </w:r>
      <w:r>
        <w:rPr>
          <w:rFonts w:cs="Times New Roman" w:ascii="Times New Roman" w:hAnsi="Times New Roman"/>
          <w:b/>
          <w:bCs/>
        </w:rPr>
        <w:t>36</w:t>
      </w:r>
      <w:r>
        <w:rPr>
          <w:rFonts w:cs="Times New Roman" w:ascii="Times New Roman" w:hAnsi="Times New Roman"/>
        </w:rPr>
        <w:t>, 31–39 (2017).</w:t>
      </w:r>
    </w:p>
    <w:p>
      <w:pPr>
        <w:pStyle w:val="Bibliography"/>
        <w:rPr>
          <w:rFonts w:ascii="Times New Roman" w:hAnsi="Times New Roman" w:cs="Times New Roman"/>
        </w:rPr>
      </w:pPr>
      <w:r>
        <w:rPr>
          <w:rFonts w:cs="Times New Roman" w:ascii="Times New Roman" w:hAnsi="Times New Roman"/>
        </w:rPr>
        <w:t>47.</w:t>
        <w:tab/>
        <w:t xml:space="preserve">Wang, G., Lu, M., Yao, Y., Wang, J. &amp; Li, J. Esculetin exerts antitumor effect on human gastric cancer cells through IGF-1/PI3K/Akt signaling pathway. </w:t>
      </w:r>
      <w:r>
        <w:rPr>
          <w:rFonts w:cs="Times New Roman" w:ascii="Times New Roman" w:hAnsi="Times New Roman"/>
          <w:i/>
          <w:iCs/>
        </w:rPr>
        <w:t>Eur. J. Pharmacol.</w:t>
      </w:r>
      <w:r>
        <w:rPr>
          <w:rFonts w:cs="Times New Roman" w:ascii="Times New Roman" w:hAnsi="Times New Roman"/>
        </w:rPr>
        <w:t xml:space="preserve"> </w:t>
      </w:r>
      <w:r>
        <w:rPr>
          <w:rFonts w:cs="Times New Roman" w:ascii="Times New Roman" w:hAnsi="Times New Roman"/>
          <w:b/>
          <w:bCs/>
        </w:rPr>
        <w:t>814</w:t>
      </w:r>
      <w:r>
        <w:rPr>
          <w:rFonts w:cs="Times New Roman" w:ascii="Times New Roman" w:hAnsi="Times New Roman"/>
        </w:rPr>
        <w:t>, 207–215 (2017).</w:t>
      </w:r>
    </w:p>
    <w:p>
      <w:pPr>
        <w:pStyle w:val="Bibliography"/>
        <w:rPr>
          <w:rFonts w:ascii="Times New Roman" w:hAnsi="Times New Roman" w:cs="Times New Roman"/>
        </w:rPr>
      </w:pPr>
      <w:r>
        <w:rPr>
          <w:rFonts w:cs="Times New Roman" w:ascii="Times New Roman" w:hAnsi="Times New Roman"/>
        </w:rPr>
        <w:t>48.</w:t>
        <w:tab/>
        <w:t xml:space="preserve">Park, S.-B. </w:t>
      </w:r>
      <w:r>
        <w:rPr>
          <w:rFonts w:cs="Times New Roman" w:ascii="Times New Roman" w:hAnsi="Times New Roman"/>
          <w:i/>
          <w:iCs/>
        </w:rPr>
        <w:t>et al.</w:t>
      </w:r>
      <w:r>
        <w:rPr>
          <w:rFonts w:cs="Times New Roman" w:ascii="Times New Roman" w:hAnsi="Times New Roman"/>
        </w:rPr>
        <w:t xml:space="preserve"> Esculetin has therapeutic potential via the proapoptotic signaling pathway in A253 human submandibular salivary gland tumor cells. </w:t>
      </w:r>
      <w:r>
        <w:rPr>
          <w:rFonts w:cs="Times New Roman" w:ascii="Times New Roman" w:hAnsi="Times New Roman"/>
          <w:i/>
          <w:iCs/>
        </w:rPr>
        <w:t>Exp. Ther. Med.</w:t>
      </w:r>
      <w:r>
        <w:rPr>
          <w:rFonts w:cs="Times New Roman" w:ascii="Times New Roman" w:hAnsi="Times New Roman"/>
        </w:rPr>
        <w:t xml:space="preserve"> </w:t>
      </w:r>
      <w:r>
        <w:rPr>
          <w:rFonts w:cs="Times New Roman" w:ascii="Times New Roman" w:hAnsi="Times New Roman"/>
          <w:b/>
          <w:bCs/>
        </w:rPr>
        <w:t>24</w:t>
      </w:r>
      <w:r>
        <w:rPr>
          <w:rFonts w:cs="Times New Roman" w:ascii="Times New Roman" w:hAnsi="Times New Roman"/>
        </w:rPr>
        <w:t>, 533 (2022).</w:t>
      </w:r>
    </w:p>
    <w:p>
      <w:pPr>
        <w:pStyle w:val="Bibliography"/>
        <w:rPr>
          <w:rFonts w:ascii="Times New Roman" w:hAnsi="Times New Roman" w:cs="Times New Roman"/>
        </w:rPr>
      </w:pPr>
      <w:r>
        <w:rPr>
          <w:rFonts w:cs="Times New Roman" w:ascii="Times New Roman" w:hAnsi="Times New Roman"/>
        </w:rPr>
        <w:t>49.</w:t>
        <w:tab/>
        <w:t xml:space="preserve">Arora, R. </w:t>
      </w:r>
      <w:r>
        <w:rPr>
          <w:rFonts w:cs="Times New Roman" w:ascii="Times New Roman" w:hAnsi="Times New Roman"/>
          <w:i/>
          <w:iCs/>
        </w:rPr>
        <w:t>et al.</w:t>
      </w:r>
      <w:r>
        <w:rPr>
          <w:rFonts w:cs="Times New Roman" w:ascii="Times New Roman" w:hAnsi="Times New Roman"/>
        </w:rPr>
        <w:t xml:space="preserve"> Esculetin induces antiproliferative and apoptotic response in pancreatic cancer cells by directly binding to KEAP1. </w:t>
      </w:r>
      <w:r>
        <w:rPr>
          <w:rFonts w:cs="Times New Roman" w:ascii="Times New Roman" w:hAnsi="Times New Roman"/>
          <w:i/>
          <w:iCs/>
        </w:rPr>
        <w:t>Mol. Cancer</w:t>
      </w:r>
      <w:r>
        <w:rPr>
          <w:rFonts w:cs="Times New Roman" w:ascii="Times New Roman" w:hAnsi="Times New Roman"/>
        </w:rPr>
        <w:t xml:space="preserve"> </w:t>
      </w:r>
      <w:r>
        <w:rPr>
          <w:rFonts w:cs="Times New Roman" w:ascii="Times New Roman" w:hAnsi="Times New Roman"/>
          <w:b/>
          <w:bCs/>
        </w:rPr>
        <w:t>15</w:t>
      </w:r>
      <w:r>
        <w:rPr>
          <w:rFonts w:cs="Times New Roman" w:ascii="Times New Roman" w:hAnsi="Times New Roman"/>
        </w:rPr>
        <w:t>, 64 (2016).</w:t>
      </w:r>
    </w:p>
    <w:p>
      <w:pPr>
        <w:pStyle w:val="Bibliography"/>
        <w:rPr>
          <w:rFonts w:ascii="Times New Roman" w:hAnsi="Times New Roman" w:cs="Times New Roman"/>
        </w:rPr>
      </w:pPr>
      <w:r>
        <w:rPr>
          <w:rFonts w:cs="Times New Roman" w:ascii="Times New Roman" w:hAnsi="Times New Roman"/>
        </w:rPr>
        <w:t>50.</w:t>
        <w:tab/>
        <w:t xml:space="preserve">Pan, H., Wang, B.-H., Lv, W., Jiang, Y. &amp; He, L. Esculetin induces apoptosis in human gastric cancer cells through a cyclophilin D-mediated mitochondrial permeability transition pore associated with ROS. </w:t>
      </w:r>
      <w:r>
        <w:rPr>
          <w:rFonts w:cs="Times New Roman" w:ascii="Times New Roman" w:hAnsi="Times New Roman"/>
          <w:i/>
          <w:iCs/>
        </w:rPr>
        <w:t>Chem. Biol. Interact.</w:t>
      </w:r>
      <w:r>
        <w:rPr>
          <w:rFonts w:cs="Times New Roman" w:ascii="Times New Roman" w:hAnsi="Times New Roman"/>
        </w:rPr>
        <w:t xml:space="preserve"> </w:t>
      </w:r>
      <w:r>
        <w:rPr>
          <w:rFonts w:cs="Times New Roman" w:ascii="Times New Roman" w:hAnsi="Times New Roman"/>
          <w:b/>
          <w:bCs/>
        </w:rPr>
        <w:t>242</w:t>
      </w:r>
      <w:r>
        <w:rPr>
          <w:rFonts w:cs="Times New Roman" w:ascii="Times New Roman" w:hAnsi="Times New Roman"/>
        </w:rPr>
        <w:t>, 51–60 (2015).</w:t>
      </w:r>
    </w:p>
    <w:p>
      <w:pPr>
        <w:pStyle w:val="Bibliography"/>
        <w:rPr>
          <w:rFonts w:ascii="Times New Roman" w:hAnsi="Times New Roman" w:cs="Times New Roman"/>
        </w:rPr>
      </w:pPr>
      <w:r>
        <w:rPr>
          <w:rFonts w:cs="Times New Roman" w:ascii="Times New Roman" w:hAnsi="Times New Roman"/>
        </w:rPr>
        <w:t>51.</w:t>
        <w:tab/>
        <w:t xml:space="preserve">Jeon, Y. </w:t>
      </w:r>
      <w:r>
        <w:rPr>
          <w:rFonts w:cs="Times New Roman" w:ascii="Times New Roman" w:hAnsi="Times New Roman"/>
          <w:i/>
          <w:iCs/>
        </w:rPr>
        <w:t>et al.</w:t>
      </w:r>
      <w:r>
        <w:rPr>
          <w:rFonts w:cs="Times New Roman" w:ascii="Times New Roman" w:hAnsi="Times New Roman"/>
        </w:rPr>
        <w:t xml:space="preserve"> Esculetin Induces Apoptosis Through EGFR/PI3K/Akt Signaling Pathway and Nucleophosmin Relocalization. </w:t>
      </w:r>
      <w:r>
        <w:rPr>
          <w:rFonts w:cs="Times New Roman" w:ascii="Times New Roman" w:hAnsi="Times New Roman"/>
          <w:i/>
          <w:iCs/>
        </w:rPr>
        <w:t>J. Cell. Biochem.</w:t>
      </w:r>
      <w:r>
        <w:rPr>
          <w:rFonts w:cs="Times New Roman" w:ascii="Times New Roman" w:hAnsi="Times New Roman"/>
        </w:rPr>
        <w:t xml:space="preserve"> </w:t>
      </w:r>
      <w:r>
        <w:rPr>
          <w:rFonts w:cs="Times New Roman" w:ascii="Times New Roman" w:hAnsi="Times New Roman"/>
          <w:b/>
          <w:bCs/>
        </w:rPr>
        <w:t>117</w:t>
      </w:r>
      <w:r>
        <w:rPr>
          <w:rFonts w:cs="Times New Roman" w:ascii="Times New Roman" w:hAnsi="Times New Roman"/>
        </w:rPr>
        <w:t>, 1210–1221 (2016).</w:t>
      </w:r>
    </w:p>
    <w:p>
      <w:pPr>
        <w:pStyle w:val="Bibliography"/>
        <w:rPr>
          <w:rFonts w:ascii="Times New Roman" w:hAnsi="Times New Roman" w:cs="Times New Roman"/>
        </w:rPr>
      </w:pPr>
      <w:r>
        <w:rPr>
          <w:rFonts w:cs="Times New Roman" w:ascii="Times New Roman" w:hAnsi="Times New Roman"/>
        </w:rPr>
        <w:t>52.</w:t>
        <w:tab/>
        <w:t xml:space="preserve">Choi, Y. J., Lee, C. M., Park, S. &amp; Nam, M. J. Esculetin induces cell cycle arrest and apoptosis in human colon cancer LoVo cells. </w:t>
      </w:r>
      <w:r>
        <w:rPr>
          <w:rFonts w:cs="Times New Roman" w:ascii="Times New Roman" w:hAnsi="Times New Roman"/>
          <w:i/>
          <w:iCs/>
        </w:rPr>
        <w:t>Environ. Toxicol.</w:t>
      </w:r>
      <w:r>
        <w:rPr>
          <w:rFonts w:cs="Times New Roman" w:ascii="Times New Roman" w:hAnsi="Times New Roman"/>
        </w:rPr>
        <w:t xml:space="preserve"> </w:t>
      </w:r>
      <w:r>
        <w:rPr>
          <w:rFonts w:cs="Times New Roman" w:ascii="Times New Roman" w:hAnsi="Times New Roman"/>
          <w:b/>
          <w:bCs/>
        </w:rPr>
        <w:t>34</w:t>
      </w:r>
      <w:r>
        <w:rPr>
          <w:rFonts w:cs="Times New Roman" w:ascii="Times New Roman" w:hAnsi="Times New Roman"/>
        </w:rPr>
        <w:t>, 1129–1136 (2019).</w:t>
      </w:r>
    </w:p>
    <w:p>
      <w:pPr>
        <w:pStyle w:val="Bibliography"/>
        <w:rPr>
          <w:rFonts w:ascii="Times New Roman" w:hAnsi="Times New Roman" w:cs="Times New Roman"/>
        </w:rPr>
      </w:pPr>
      <w:r>
        <w:rPr>
          <w:rFonts w:cs="Times New Roman" w:ascii="Times New Roman" w:hAnsi="Times New Roman"/>
        </w:rPr>
        <w:t>53.</w:t>
        <w:tab/>
        <w:t xml:space="preserve">Kim, A. D. </w:t>
      </w:r>
      <w:r>
        <w:rPr>
          <w:rFonts w:cs="Times New Roman" w:ascii="Times New Roman" w:hAnsi="Times New Roman"/>
          <w:i/>
          <w:iCs/>
        </w:rPr>
        <w:t>et al.</w:t>
      </w:r>
      <w:r>
        <w:rPr>
          <w:rFonts w:cs="Times New Roman" w:ascii="Times New Roman" w:hAnsi="Times New Roman"/>
        </w:rPr>
        <w:t xml:space="preserve"> Esculetin induces death of human colon cancer cells via the reactive oxygen species-mediated mitochondrial apoptosis pathway. </w:t>
      </w:r>
      <w:r>
        <w:rPr>
          <w:rFonts w:cs="Times New Roman" w:ascii="Times New Roman" w:hAnsi="Times New Roman"/>
          <w:i/>
          <w:iCs/>
        </w:rPr>
        <w:t>Environ. Toxicol. Pharmacol.</w:t>
      </w:r>
      <w:r>
        <w:rPr>
          <w:rFonts w:cs="Times New Roman" w:ascii="Times New Roman" w:hAnsi="Times New Roman"/>
        </w:rPr>
        <w:t xml:space="preserve"> </w:t>
      </w:r>
      <w:r>
        <w:rPr>
          <w:rFonts w:cs="Times New Roman" w:ascii="Times New Roman" w:hAnsi="Times New Roman"/>
          <w:b/>
          <w:bCs/>
        </w:rPr>
        <w:t>39</w:t>
      </w:r>
      <w:r>
        <w:rPr>
          <w:rFonts w:cs="Times New Roman" w:ascii="Times New Roman" w:hAnsi="Times New Roman"/>
        </w:rPr>
        <w:t>, 982–989 (2015).</w:t>
      </w:r>
    </w:p>
    <w:p>
      <w:pPr>
        <w:pStyle w:val="Bibliography"/>
        <w:rPr>
          <w:rFonts w:ascii="Times New Roman" w:hAnsi="Times New Roman" w:cs="Times New Roman"/>
        </w:rPr>
      </w:pPr>
      <w:r>
        <w:rPr>
          <w:rFonts w:cs="Times New Roman" w:ascii="Times New Roman" w:hAnsi="Times New Roman"/>
        </w:rPr>
        <w:t>54.</w:t>
        <w:tab/>
        <w:t xml:space="preserve">Wu, S.-T. </w:t>
      </w:r>
      <w:r>
        <w:rPr>
          <w:rFonts w:cs="Times New Roman" w:ascii="Times New Roman" w:hAnsi="Times New Roman"/>
          <w:i/>
          <w:iCs/>
        </w:rPr>
        <w:t>et al.</w:t>
      </w:r>
      <w:r>
        <w:rPr>
          <w:rFonts w:cs="Times New Roman" w:ascii="Times New Roman" w:hAnsi="Times New Roman"/>
        </w:rPr>
        <w:t xml:space="preserve"> Esculetin Inhibits Cancer Cell Glycolysis by Binding Tumor PGK2, GPD2, and GPI. </w:t>
      </w:r>
      <w:r>
        <w:rPr>
          <w:rFonts w:cs="Times New Roman" w:ascii="Times New Roman" w:hAnsi="Times New Roman"/>
          <w:i/>
          <w:iCs/>
        </w:rPr>
        <w:t>Front. Pharmacol.</w:t>
      </w:r>
      <w:r>
        <w:rPr>
          <w:rFonts w:cs="Times New Roman" w:ascii="Times New Roman" w:hAnsi="Times New Roman"/>
        </w:rPr>
        <w:t xml:space="preserve"> </w:t>
      </w:r>
      <w:r>
        <w:rPr>
          <w:rFonts w:cs="Times New Roman" w:ascii="Times New Roman" w:hAnsi="Times New Roman"/>
          <w:b/>
          <w:bCs/>
        </w:rPr>
        <w:t>11</w:t>
      </w:r>
      <w:r>
        <w:rPr>
          <w:rFonts w:cs="Times New Roman" w:ascii="Times New Roman" w:hAnsi="Times New Roman"/>
        </w:rPr>
        <w:t>, 379 (2020).</w:t>
      </w:r>
    </w:p>
    <w:p>
      <w:pPr>
        <w:pStyle w:val="Bibliography"/>
        <w:rPr>
          <w:rFonts w:ascii="Times New Roman" w:hAnsi="Times New Roman" w:cs="Times New Roman"/>
        </w:rPr>
      </w:pPr>
      <w:r>
        <w:rPr>
          <w:rFonts w:cs="Times New Roman" w:ascii="Times New Roman" w:hAnsi="Times New Roman"/>
        </w:rPr>
        <w:t>55.</w:t>
        <w:tab/>
        <w:t xml:space="preserve">Moon. Esculetin inhibits cell proliferation through the Ras/ERK1/2 pathway in human colon cancer cells. </w:t>
      </w:r>
      <w:r>
        <w:rPr>
          <w:rFonts w:cs="Times New Roman" w:ascii="Times New Roman" w:hAnsi="Times New Roman"/>
          <w:i/>
          <w:iCs/>
        </w:rPr>
        <w:t>Oncol. Rep.</w:t>
      </w:r>
      <w:r>
        <w:rPr>
          <w:rFonts w:cs="Times New Roman" w:ascii="Times New Roman" w:hAnsi="Times New Roman"/>
        </w:rPr>
        <w:t xml:space="preserve"> </w:t>
      </w:r>
      <w:r>
        <w:rPr>
          <w:rFonts w:cs="Times New Roman" w:ascii="Times New Roman" w:hAnsi="Times New Roman"/>
          <w:b/>
          <w:bCs/>
        </w:rPr>
        <w:t>25</w:t>
      </w:r>
      <w:r>
        <w:rPr>
          <w:rFonts w:cs="Times New Roman" w:ascii="Times New Roman" w:hAnsi="Times New Roman"/>
        </w:rPr>
        <w:t>, (2010).</w:t>
      </w:r>
    </w:p>
    <w:p>
      <w:pPr>
        <w:pStyle w:val="Bibliography"/>
        <w:rPr>
          <w:rFonts w:ascii="Times New Roman" w:hAnsi="Times New Roman" w:cs="Times New Roman"/>
        </w:rPr>
      </w:pPr>
      <w:r>
        <w:rPr>
          <w:rFonts w:cs="Times New Roman" w:ascii="Times New Roman" w:hAnsi="Times New Roman"/>
        </w:rPr>
        <w:t>56.</w:t>
        <w:tab/>
        <w:t xml:space="preserve">Duan, J. </w:t>
      </w:r>
      <w:r>
        <w:rPr>
          <w:rFonts w:cs="Times New Roman" w:ascii="Times New Roman" w:hAnsi="Times New Roman"/>
          <w:i/>
          <w:iCs/>
        </w:rPr>
        <w:t>et al.</w:t>
      </w:r>
      <w:r>
        <w:rPr>
          <w:rFonts w:cs="Times New Roman" w:ascii="Times New Roman" w:hAnsi="Times New Roman"/>
        </w:rPr>
        <w:t xml:space="preserve"> Esculetin inhibits proliferation, migration, and invasion of clear cell renal cell carcinoma cells. </w:t>
      </w:r>
      <w:r>
        <w:rPr>
          <w:rFonts w:cs="Times New Roman" w:ascii="Times New Roman" w:hAnsi="Times New Roman"/>
          <w:i/>
          <w:iCs/>
        </w:rPr>
        <w:t>Biomed. Pharmacother.</w:t>
      </w:r>
      <w:r>
        <w:rPr>
          <w:rFonts w:cs="Times New Roman" w:ascii="Times New Roman" w:hAnsi="Times New Roman"/>
        </w:rPr>
        <w:t xml:space="preserve"> </w:t>
      </w:r>
      <w:r>
        <w:rPr>
          <w:rFonts w:cs="Times New Roman" w:ascii="Times New Roman" w:hAnsi="Times New Roman"/>
          <w:b/>
          <w:bCs/>
        </w:rPr>
        <w:t>125</w:t>
      </w:r>
      <w:r>
        <w:rPr>
          <w:rFonts w:cs="Times New Roman" w:ascii="Times New Roman" w:hAnsi="Times New Roman"/>
        </w:rPr>
        <w:t>, 110031 (2020).</w:t>
      </w:r>
    </w:p>
    <w:p>
      <w:pPr>
        <w:pStyle w:val="Bibliography"/>
        <w:rPr>
          <w:rFonts w:ascii="Times New Roman" w:hAnsi="Times New Roman" w:cs="Times New Roman"/>
        </w:rPr>
      </w:pPr>
      <w:r>
        <w:rPr>
          <w:rFonts w:cs="Times New Roman" w:ascii="Times New Roman" w:hAnsi="Times New Roman"/>
        </w:rPr>
        <w:t>57.</w:t>
        <w:tab/>
        <w:t xml:space="preserve">Turkekul, K., Colpan, R. D., Baykul, T., Ozdemir, M. D. &amp; Erdogan, S. Esculetin Inhibits the Survival of Human Prostate Cancer Cells by Inducing Apoptosis and Arresting the Cell Cycle. </w:t>
      </w:r>
      <w:r>
        <w:rPr>
          <w:rFonts w:cs="Times New Roman" w:ascii="Times New Roman" w:hAnsi="Times New Roman"/>
          <w:i/>
          <w:iCs/>
        </w:rPr>
        <w:t>J. Cancer Prev.</w:t>
      </w:r>
      <w:r>
        <w:rPr>
          <w:rFonts w:cs="Times New Roman" w:ascii="Times New Roman" w:hAnsi="Times New Roman"/>
        </w:rPr>
        <w:t xml:space="preserve"> </w:t>
      </w:r>
      <w:r>
        <w:rPr>
          <w:rFonts w:cs="Times New Roman" w:ascii="Times New Roman" w:hAnsi="Times New Roman"/>
          <w:b/>
          <w:bCs/>
        </w:rPr>
        <w:t>23</w:t>
      </w:r>
      <w:r>
        <w:rPr>
          <w:rFonts w:cs="Times New Roman" w:ascii="Times New Roman" w:hAnsi="Times New Roman"/>
        </w:rPr>
        <w:t>, 10–17 (2018).</w:t>
      </w:r>
    </w:p>
    <w:p>
      <w:pPr>
        <w:pStyle w:val="Bibliography"/>
        <w:rPr>
          <w:rFonts w:ascii="Times New Roman" w:hAnsi="Times New Roman" w:cs="Times New Roman"/>
        </w:rPr>
      </w:pPr>
      <w:r>
        <w:rPr>
          <w:rFonts w:cs="Times New Roman" w:ascii="Times New Roman" w:hAnsi="Times New Roman"/>
        </w:rPr>
        <w:t>58.</w:t>
        <w:tab/>
        <w:t xml:space="preserve">Lee, S.-Y. </w:t>
      </w:r>
      <w:r>
        <w:rPr>
          <w:rFonts w:cs="Times New Roman" w:ascii="Times New Roman" w:hAnsi="Times New Roman"/>
          <w:i/>
          <w:iCs/>
        </w:rPr>
        <w:t>et al.</w:t>
      </w:r>
      <w:r>
        <w:rPr>
          <w:rFonts w:cs="Times New Roman" w:ascii="Times New Roman" w:hAnsi="Times New Roman"/>
        </w:rPr>
        <w:t xml:space="preserve"> Esculetin Suppresses Proliferation of Human Colon Cancer Cells by Directly Targeting β-Catenin. </w:t>
      </w:r>
      <w:r>
        <w:rPr>
          <w:rFonts w:cs="Times New Roman" w:ascii="Times New Roman" w:hAnsi="Times New Roman"/>
          <w:i/>
          <w:iCs/>
        </w:rPr>
        <w:t>Cancer Prev. Res. (Phila. Pa.)</w:t>
      </w:r>
      <w:r>
        <w:rPr>
          <w:rFonts w:cs="Times New Roman" w:ascii="Times New Roman" w:hAnsi="Times New Roman"/>
        </w:rPr>
        <w:t xml:space="preserve"> </w:t>
      </w:r>
      <w:r>
        <w:rPr>
          <w:rFonts w:cs="Times New Roman" w:ascii="Times New Roman" w:hAnsi="Times New Roman"/>
          <w:b/>
          <w:bCs/>
        </w:rPr>
        <w:t>6</w:t>
      </w:r>
      <w:r>
        <w:rPr>
          <w:rFonts w:cs="Times New Roman" w:ascii="Times New Roman" w:hAnsi="Times New Roman"/>
        </w:rPr>
        <w:t>, 1356–1364 (2013).</w:t>
      </w:r>
    </w:p>
    <w:p>
      <w:pPr>
        <w:pStyle w:val="Bibliography"/>
        <w:rPr>
          <w:rFonts w:ascii="Times New Roman" w:hAnsi="Times New Roman" w:cs="Times New Roman"/>
        </w:rPr>
      </w:pPr>
      <w:r>
        <w:rPr>
          <w:rFonts w:cs="Times New Roman" w:ascii="Times New Roman" w:hAnsi="Times New Roman"/>
        </w:rPr>
        <w:t>59.</w:t>
        <w:tab/>
        <w:t xml:space="preserve">Kim, W. K. </w:t>
      </w:r>
      <w:r>
        <w:rPr>
          <w:rFonts w:cs="Times New Roman" w:ascii="Times New Roman" w:hAnsi="Times New Roman"/>
          <w:i/>
          <w:iCs/>
        </w:rPr>
        <w:t>et al.</w:t>
      </w:r>
      <w:r>
        <w:rPr>
          <w:rFonts w:cs="Times New Roman" w:ascii="Times New Roman" w:hAnsi="Times New Roman"/>
        </w:rPr>
        <w:t xml:space="preserve"> Esculetin suppresses tumor growth and metastasis by targeting Axin2/E-cadherin axis in colorectal cancer. </w:t>
      </w:r>
      <w:r>
        <w:rPr>
          <w:rFonts w:cs="Times New Roman" w:ascii="Times New Roman" w:hAnsi="Times New Roman"/>
          <w:i/>
          <w:iCs/>
        </w:rPr>
        <w:t>Biochem. Pharmacol.</w:t>
      </w:r>
      <w:r>
        <w:rPr>
          <w:rFonts w:cs="Times New Roman" w:ascii="Times New Roman" w:hAnsi="Times New Roman"/>
        </w:rPr>
        <w:t xml:space="preserve"> </w:t>
      </w:r>
      <w:r>
        <w:rPr>
          <w:rFonts w:cs="Times New Roman" w:ascii="Times New Roman" w:hAnsi="Times New Roman"/>
          <w:b/>
          <w:bCs/>
        </w:rPr>
        <w:t>152</w:t>
      </w:r>
      <w:r>
        <w:rPr>
          <w:rFonts w:cs="Times New Roman" w:ascii="Times New Roman" w:hAnsi="Times New Roman"/>
        </w:rPr>
        <w:t>, 71–83 (2018).</w:t>
      </w:r>
    </w:p>
    <w:p>
      <w:pPr>
        <w:pStyle w:val="Bibliography"/>
        <w:rPr>
          <w:rFonts w:ascii="Times New Roman" w:hAnsi="Times New Roman" w:cs="Times New Roman"/>
        </w:rPr>
      </w:pPr>
      <w:r>
        <w:rPr>
          <w:rFonts w:cs="Times New Roman" w:ascii="Times New Roman" w:hAnsi="Times New Roman"/>
        </w:rPr>
        <w:t>60.</w:t>
        <w:tab/>
        <w:t xml:space="preserve">Chang, H.-T. </w:t>
      </w:r>
      <w:r>
        <w:rPr>
          <w:rFonts w:cs="Times New Roman" w:ascii="Times New Roman" w:hAnsi="Times New Roman"/>
          <w:i/>
          <w:iCs/>
        </w:rPr>
        <w:t>et al.</w:t>
      </w:r>
      <w:r>
        <w:rPr>
          <w:rFonts w:cs="Times New Roman" w:ascii="Times New Roman" w:hAnsi="Times New Roman"/>
        </w:rPr>
        <w:t xml:space="preserve"> Esculetin, a natural coumarin compound, evokes Ca2+ movement and activation of Ca2+-associated mitochondrial apoptotic pathways that involved cell cycle arrest in ZR-75-1 human breast cancer cells. </w:t>
      </w:r>
      <w:r>
        <w:rPr>
          <w:rFonts w:cs="Times New Roman" w:ascii="Times New Roman" w:hAnsi="Times New Roman"/>
          <w:i/>
          <w:iCs/>
        </w:rPr>
        <w:t>Tumor Biol.</w:t>
      </w:r>
      <w:r>
        <w:rPr>
          <w:rFonts w:cs="Times New Roman" w:ascii="Times New Roman" w:hAnsi="Times New Roman"/>
        </w:rPr>
        <w:t xml:space="preserve"> </w:t>
      </w:r>
      <w:r>
        <w:rPr>
          <w:rFonts w:cs="Times New Roman" w:ascii="Times New Roman" w:hAnsi="Times New Roman"/>
          <w:b/>
          <w:bCs/>
        </w:rPr>
        <w:t>37</w:t>
      </w:r>
      <w:r>
        <w:rPr>
          <w:rFonts w:cs="Times New Roman" w:ascii="Times New Roman" w:hAnsi="Times New Roman"/>
        </w:rPr>
        <w:t>, 4665–4678 (2016).</w:t>
      </w:r>
    </w:p>
    <w:p>
      <w:pPr>
        <w:pStyle w:val="Bibliography"/>
        <w:rPr>
          <w:rFonts w:ascii="Times New Roman" w:hAnsi="Times New Roman" w:cs="Times New Roman"/>
        </w:rPr>
      </w:pPr>
      <w:r>
        <w:rPr>
          <w:rFonts w:cs="Times New Roman" w:ascii="Times New Roman" w:hAnsi="Times New Roman"/>
        </w:rPr>
        <w:t>61.</w:t>
        <w:tab/>
        <w:t xml:space="preserve">Eskandani, M., Barar, J., Ezzati Nazhad Dolatabadi, J., Hamishehkar, H. &amp; Nazemiyeh, H. Formulation, characterization, and geno/cytotoxicity studies of galbanic acid-loaded solid lipid nanoparticles. </w:t>
      </w:r>
      <w:r>
        <w:rPr>
          <w:rFonts w:cs="Times New Roman" w:ascii="Times New Roman" w:hAnsi="Times New Roman"/>
          <w:i/>
          <w:iCs/>
        </w:rPr>
        <w:t>Pharm. Biol.</w:t>
      </w:r>
      <w:r>
        <w:rPr>
          <w:rFonts w:cs="Times New Roman" w:ascii="Times New Roman" w:hAnsi="Times New Roman"/>
        </w:rPr>
        <w:t xml:space="preserve"> </w:t>
      </w:r>
      <w:r>
        <w:rPr>
          <w:rFonts w:cs="Times New Roman" w:ascii="Times New Roman" w:hAnsi="Times New Roman"/>
          <w:b/>
          <w:bCs/>
        </w:rPr>
        <w:t>53</w:t>
      </w:r>
      <w:r>
        <w:rPr>
          <w:rFonts w:cs="Times New Roman" w:ascii="Times New Roman" w:hAnsi="Times New Roman"/>
        </w:rPr>
        <w:t>, 1525–1538 (2015).</w:t>
      </w:r>
    </w:p>
    <w:p>
      <w:pPr>
        <w:pStyle w:val="Bibliography"/>
        <w:rPr>
          <w:rFonts w:ascii="Times New Roman" w:hAnsi="Times New Roman" w:cs="Times New Roman"/>
        </w:rPr>
      </w:pPr>
      <w:r>
        <w:rPr>
          <w:rFonts w:cs="Times New Roman" w:ascii="Times New Roman" w:hAnsi="Times New Roman"/>
        </w:rPr>
        <w:t>62.</w:t>
        <w:tab/>
        <w:t xml:space="preserve">Zhang, Y. </w:t>
      </w:r>
      <w:r>
        <w:rPr>
          <w:rFonts w:cs="Times New Roman" w:ascii="Times New Roman" w:hAnsi="Times New Roman"/>
          <w:i/>
          <w:iCs/>
        </w:rPr>
        <w:t>et al.</w:t>
      </w:r>
      <w:r>
        <w:rPr>
          <w:rFonts w:cs="Times New Roman" w:ascii="Times New Roman" w:hAnsi="Times New Roman"/>
        </w:rPr>
        <w:t xml:space="preserve"> Galbanic acid decreases androgen receptor abundance and signaling and induces G1 arrest in prostate cancer cells. </w:t>
      </w:r>
      <w:r>
        <w:rPr>
          <w:rFonts w:cs="Times New Roman" w:ascii="Times New Roman" w:hAnsi="Times New Roman"/>
          <w:i/>
          <w:iCs/>
        </w:rPr>
        <w:t>Int. J. Cancer</w:t>
      </w:r>
      <w:r>
        <w:rPr>
          <w:rFonts w:cs="Times New Roman" w:ascii="Times New Roman" w:hAnsi="Times New Roman"/>
        </w:rPr>
        <w:t xml:space="preserve"> </w:t>
      </w:r>
      <w:r>
        <w:rPr>
          <w:rFonts w:cs="Times New Roman" w:ascii="Times New Roman" w:hAnsi="Times New Roman"/>
          <w:b/>
          <w:bCs/>
        </w:rPr>
        <w:t>130</w:t>
      </w:r>
      <w:r>
        <w:rPr>
          <w:rFonts w:cs="Times New Roman" w:ascii="Times New Roman" w:hAnsi="Times New Roman"/>
        </w:rPr>
        <w:t>, 200–212 (2012).</w:t>
      </w:r>
    </w:p>
    <w:p>
      <w:pPr>
        <w:pStyle w:val="Bibliography"/>
        <w:rPr>
          <w:rFonts w:ascii="Times New Roman" w:hAnsi="Times New Roman" w:cs="Times New Roman"/>
        </w:rPr>
      </w:pPr>
      <w:r>
        <w:rPr>
          <w:rFonts w:cs="Times New Roman" w:ascii="Times New Roman" w:hAnsi="Times New Roman"/>
        </w:rPr>
        <w:t>63.</w:t>
        <w:tab/>
        <w:t xml:space="preserve">Kim, Y. H. </w:t>
      </w:r>
      <w:r>
        <w:rPr>
          <w:rFonts w:cs="Times New Roman" w:ascii="Times New Roman" w:hAnsi="Times New Roman"/>
          <w:i/>
          <w:iCs/>
        </w:rPr>
        <w:t>et al.</w:t>
      </w:r>
      <w:r>
        <w:rPr>
          <w:rFonts w:cs="Times New Roman" w:ascii="Times New Roman" w:hAnsi="Times New Roman"/>
        </w:rPr>
        <w:t xml:space="preserve"> Galbanic acid potentiates TRAIL induced apoptosis in resistant non-small cell lung cancer cells via inhibition of MDR1 and activation of caspases and DR5. </w:t>
      </w:r>
      <w:r>
        <w:rPr>
          <w:rFonts w:cs="Times New Roman" w:ascii="Times New Roman" w:hAnsi="Times New Roman"/>
          <w:i/>
          <w:iCs/>
        </w:rPr>
        <w:t>Eur. J. Pharmacol.</w:t>
      </w:r>
      <w:r>
        <w:rPr>
          <w:rFonts w:cs="Times New Roman" w:ascii="Times New Roman" w:hAnsi="Times New Roman"/>
        </w:rPr>
        <w:t xml:space="preserve"> </w:t>
      </w:r>
      <w:r>
        <w:rPr>
          <w:rFonts w:cs="Times New Roman" w:ascii="Times New Roman" w:hAnsi="Times New Roman"/>
          <w:b/>
          <w:bCs/>
        </w:rPr>
        <w:t>847</w:t>
      </w:r>
      <w:r>
        <w:rPr>
          <w:rFonts w:cs="Times New Roman" w:ascii="Times New Roman" w:hAnsi="Times New Roman"/>
        </w:rPr>
        <w:t>, 91–96 (2019).</w:t>
      </w:r>
    </w:p>
    <w:p>
      <w:pPr>
        <w:pStyle w:val="Bibliography"/>
        <w:rPr>
          <w:rFonts w:ascii="Times New Roman" w:hAnsi="Times New Roman" w:cs="Times New Roman"/>
        </w:rPr>
      </w:pPr>
      <w:r>
        <w:rPr>
          <w:rFonts w:cs="Times New Roman" w:ascii="Times New Roman" w:hAnsi="Times New Roman"/>
        </w:rPr>
        <w:t>64.</w:t>
        <w:tab/>
        <w:t xml:space="preserve">Chahardoli, A., Mavaei, M., Shokoohinia, Y. &amp; Fattahi, A. Galbanic acid, a sesquiterpene coumarin as a novel candidate for the biosynthesis of silver nanoparticles: </w:t>
      </w:r>
      <w:r>
        <w:rPr>
          <w:rFonts w:cs="Times New Roman" w:ascii="Times New Roman" w:hAnsi="Times New Roman"/>
          <w:i/>
          <w:iCs/>
        </w:rPr>
        <w:t>In vitro</w:t>
      </w:r>
      <w:r>
        <w:rPr>
          <w:rFonts w:cs="Times New Roman" w:ascii="Times New Roman" w:hAnsi="Times New Roman"/>
        </w:rPr>
        <w:t xml:space="preserve"> hemocompatibility, antiproliferative, antibacterial, antioxidant, and anti-inflammatory properties. </w:t>
      </w:r>
      <w:r>
        <w:rPr>
          <w:rFonts w:cs="Times New Roman" w:ascii="Times New Roman" w:hAnsi="Times New Roman"/>
          <w:i/>
          <w:iCs/>
        </w:rPr>
        <w:t>Adv. Powder Technol.</w:t>
      </w:r>
      <w:r>
        <w:rPr>
          <w:rFonts w:cs="Times New Roman" w:ascii="Times New Roman" w:hAnsi="Times New Roman"/>
        </w:rPr>
        <w:t xml:space="preserve"> </w:t>
      </w:r>
      <w:r>
        <w:rPr>
          <w:rFonts w:cs="Times New Roman" w:ascii="Times New Roman" w:hAnsi="Times New Roman"/>
          <w:b/>
          <w:bCs/>
        </w:rPr>
        <w:t>34</w:t>
      </w:r>
      <w:r>
        <w:rPr>
          <w:rFonts w:cs="Times New Roman" w:ascii="Times New Roman" w:hAnsi="Times New Roman"/>
        </w:rPr>
        <w:t>, 103928 (2023).</w:t>
      </w:r>
    </w:p>
    <w:p>
      <w:pPr>
        <w:pStyle w:val="Bibliography"/>
        <w:rPr>
          <w:rFonts w:ascii="Times New Roman" w:hAnsi="Times New Roman" w:cs="Times New Roman"/>
        </w:rPr>
      </w:pPr>
      <w:r>
        <w:rPr>
          <w:rFonts w:cs="Times New Roman" w:ascii="Times New Roman" w:hAnsi="Times New Roman"/>
        </w:rPr>
        <w:t>65.</w:t>
        <w:tab/>
        <w:t xml:space="preserve">Khaghanzadeh, N., Nakamura, K., Kuramitsu, Y., Ghaderi, A. &amp; Mojtahedi, Z. Immune-associated proteins with potential in vivo anti-tumor activities are upregulated in lung cancer cells treated with umbelliprenin: A proteomic approach. </w:t>
      </w:r>
      <w:r>
        <w:rPr>
          <w:rFonts w:cs="Times New Roman" w:ascii="Times New Roman" w:hAnsi="Times New Roman"/>
          <w:i/>
          <w:iCs/>
        </w:rPr>
        <w:t>Oncol. Lett.</w:t>
      </w:r>
      <w:r>
        <w:rPr>
          <w:rFonts w:cs="Times New Roman" w:ascii="Times New Roman" w:hAnsi="Times New Roman"/>
        </w:rPr>
        <w:t xml:space="preserve"> </w:t>
      </w:r>
      <w:r>
        <w:rPr>
          <w:rFonts w:cs="Times New Roman" w:ascii="Times New Roman" w:hAnsi="Times New Roman"/>
          <w:b/>
          <w:bCs/>
        </w:rPr>
        <w:t>12</w:t>
      </w:r>
      <w:r>
        <w:rPr>
          <w:rFonts w:cs="Times New Roman" w:ascii="Times New Roman" w:hAnsi="Times New Roman"/>
        </w:rPr>
        <w:t>, 5295–5302 (2016).</w:t>
      </w:r>
    </w:p>
    <w:p>
      <w:pPr>
        <w:pStyle w:val="Bibliography"/>
        <w:rPr>
          <w:rFonts w:ascii="Times New Roman" w:hAnsi="Times New Roman" w:cs="Times New Roman"/>
        </w:rPr>
      </w:pPr>
      <w:r>
        <w:rPr>
          <w:rFonts w:cs="Times New Roman" w:ascii="Times New Roman" w:hAnsi="Times New Roman"/>
        </w:rPr>
        <w:t>66.</w:t>
        <w:tab/>
        <w:t xml:space="preserve">Hashemi, R. </w:t>
      </w:r>
      <w:r>
        <w:rPr>
          <w:rFonts w:cs="Times New Roman" w:ascii="Times New Roman" w:hAnsi="Times New Roman"/>
          <w:i/>
          <w:iCs/>
        </w:rPr>
        <w:t>et al.</w:t>
      </w:r>
      <w:r>
        <w:rPr>
          <w:rFonts w:cs="Times New Roman" w:ascii="Times New Roman" w:hAnsi="Times New Roman"/>
        </w:rPr>
        <w:t xml:space="preserve"> In vitro Study of Radiosensitivity Effects of Galbanic Acid on Ovarian Tumor Cells (OVCAR-3 Cell Line). </w:t>
      </w:r>
      <w:r>
        <w:rPr>
          <w:rFonts w:cs="Times New Roman" w:ascii="Times New Roman" w:hAnsi="Times New Roman"/>
          <w:i/>
          <w:iCs/>
        </w:rPr>
        <w:t>Nat. Prod. Commun.</w:t>
      </w:r>
      <w:r>
        <w:rPr>
          <w:rFonts w:cs="Times New Roman" w:ascii="Times New Roman" w:hAnsi="Times New Roman"/>
        </w:rPr>
        <w:t xml:space="preserve"> </w:t>
      </w:r>
      <w:r>
        <w:rPr>
          <w:rFonts w:cs="Times New Roman" w:ascii="Times New Roman" w:hAnsi="Times New Roman"/>
          <w:b/>
          <w:bCs/>
        </w:rPr>
        <w:t>16</w:t>
      </w:r>
      <w:r>
        <w:rPr>
          <w:rFonts w:cs="Times New Roman" w:ascii="Times New Roman" w:hAnsi="Times New Roman"/>
        </w:rPr>
        <w:t>, 1934578X211046068 (2021).</w:t>
      </w:r>
    </w:p>
    <w:p>
      <w:pPr>
        <w:pStyle w:val="Bibliography"/>
        <w:rPr>
          <w:rFonts w:ascii="Times New Roman" w:hAnsi="Times New Roman" w:cs="Times New Roman"/>
        </w:rPr>
      </w:pPr>
      <w:r>
        <w:rPr>
          <w:rFonts w:cs="Times New Roman" w:ascii="Times New Roman" w:hAnsi="Times New Roman"/>
        </w:rPr>
        <w:t>67.</w:t>
        <w:tab/>
        <w:t xml:space="preserve">Park, C. </w:t>
      </w:r>
      <w:r>
        <w:rPr>
          <w:rFonts w:cs="Times New Roman" w:ascii="Times New Roman" w:hAnsi="Times New Roman"/>
          <w:i/>
          <w:iCs/>
        </w:rPr>
        <w:t>et al.</w:t>
      </w:r>
      <w:r>
        <w:rPr>
          <w:rFonts w:cs="Times New Roman" w:ascii="Times New Roman" w:hAnsi="Times New Roman"/>
        </w:rPr>
        <w:t xml:space="preserve"> Induction of apoptosis by esculetin in human leukemia U937 cells: Roles of Bcl-2 and extracellular-regulated kinase signaling. </w:t>
      </w:r>
      <w:r>
        <w:rPr>
          <w:rFonts w:cs="Times New Roman" w:ascii="Times New Roman" w:hAnsi="Times New Roman"/>
          <w:i/>
          <w:iCs/>
        </w:rPr>
        <w:t>Toxicol. In Vitro</w:t>
      </w:r>
      <w:r>
        <w:rPr>
          <w:rFonts w:cs="Times New Roman" w:ascii="Times New Roman" w:hAnsi="Times New Roman"/>
        </w:rPr>
        <w:t xml:space="preserve"> </w:t>
      </w:r>
      <w:r>
        <w:rPr>
          <w:rFonts w:cs="Times New Roman" w:ascii="Times New Roman" w:hAnsi="Times New Roman"/>
          <w:b/>
          <w:bCs/>
        </w:rPr>
        <w:t>24</w:t>
      </w:r>
      <w:r>
        <w:rPr>
          <w:rFonts w:cs="Times New Roman" w:ascii="Times New Roman" w:hAnsi="Times New Roman"/>
        </w:rPr>
        <w:t>, 486–494 (2010).</w:t>
      </w:r>
    </w:p>
    <w:p>
      <w:pPr>
        <w:pStyle w:val="Bibliography"/>
        <w:rPr>
          <w:rFonts w:ascii="Times New Roman" w:hAnsi="Times New Roman" w:cs="Times New Roman"/>
        </w:rPr>
      </w:pPr>
      <w:r>
        <w:rPr>
          <w:rFonts w:cs="Times New Roman" w:ascii="Times New Roman" w:hAnsi="Times New Roman"/>
        </w:rPr>
        <w:t>68.</w:t>
        <w:tab/>
        <w:t xml:space="preserve">Charmforoshan, E., Karimi, E., Oskoueian, E., Es-Haghi, A. &amp; Iranshahi, M. Inhibition of human breast cancer cells (MCF-7 cell line) growth via cell proliferation, migration, and angiogenesis by auraptene of Ferula szowitsiana root extract. </w:t>
      </w:r>
      <w:r>
        <w:rPr>
          <w:rFonts w:cs="Times New Roman" w:ascii="Times New Roman" w:hAnsi="Times New Roman"/>
          <w:i/>
          <w:iCs/>
        </w:rPr>
        <w:t>J. Food Meas. Charact.</w:t>
      </w:r>
      <w:r>
        <w:rPr>
          <w:rFonts w:cs="Times New Roman" w:ascii="Times New Roman" w:hAnsi="Times New Roman"/>
        </w:rPr>
        <w:t xml:space="preserve"> </w:t>
      </w:r>
      <w:r>
        <w:rPr>
          <w:rFonts w:cs="Times New Roman" w:ascii="Times New Roman" w:hAnsi="Times New Roman"/>
          <w:b/>
          <w:bCs/>
        </w:rPr>
        <w:t>13</w:t>
      </w:r>
      <w:r>
        <w:rPr>
          <w:rFonts w:cs="Times New Roman" w:ascii="Times New Roman" w:hAnsi="Times New Roman"/>
        </w:rPr>
        <w:t>, 2644–2653 (2019).</w:t>
      </w:r>
    </w:p>
    <w:p>
      <w:pPr>
        <w:pStyle w:val="Bibliography"/>
        <w:rPr>
          <w:rFonts w:ascii="Times New Roman" w:hAnsi="Times New Roman" w:cs="Times New Roman"/>
        </w:rPr>
      </w:pPr>
      <w:r>
        <w:rPr>
          <w:rFonts w:cs="Times New Roman" w:ascii="Times New Roman" w:hAnsi="Times New Roman"/>
        </w:rPr>
        <w:t>69.</w:t>
        <w:tab/>
        <w:t xml:space="preserve">Li, H., Wang, Q., Wang, Y., Xu, Z. &amp; Han, Z. Esculetin inhibits the proliferation of human lung cancer cells by targeting epithelial-to-mesenchymal transition of the cells. </w:t>
      </w:r>
      <w:r>
        <w:rPr>
          <w:rFonts w:cs="Times New Roman" w:ascii="Times New Roman" w:hAnsi="Times New Roman"/>
          <w:i/>
          <w:iCs/>
        </w:rPr>
        <w:t>Cell. Mol. Biol.</w:t>
      </w:r>
      <w:r>
        <w:rPr>
          <w:rFonts w:cs="Times New Roman" w:ascii="Times New Roman" w:hAnsi="Times New Roman"/>
        </w:rPr>
        <w:t xml:space="preserve"> </w:t>
      </w:r>
      <w:r>
        <w:rPr>
          <w:rFonts w:cs="Times New Roman" w:ascii="Times New Roman" w:hAnsi="Times New Roman"/>
          <w:b/>
          <w:bCs/>
        </w:rPr>
        <w:t>65</w:t>
      </w:r>
      <w:r>
        <w:rPr>
          <w:rFonts w:cs="Times New Roman" w:ascii="Times New Roman" w:hAnsi="Times New Roman"/>
        </w:rPr>
        <w:t>, 95–98 (2019).</w:t>
      </w:r>
    </w:p>
    <w:p>
      <w:pPr>
        <w:pStyle w:val="Bibliography"/>
        <w:rPr>
          <w:rFonts w:ascii="Times New Roman" w:hAnsi="Times New Roman" w:cs="Times New Roman"/>
        </w:rPr>
      </w:pPr>
      <w:r>
        <w:rPr>
          <w:rFonts w:cs="Times New Roman" w:ascii="Times New Roman" w:hAnsi="Times New Roman"/>
        </w:rPr>
        <w:t>70.</w:t>
        <w:tab/>
        <w:t xml:space="preserve">Jafari, A. </w:t>
      </w:r>
      <w:r>
        <w:rPr>
          <w:rFonts w:cs="Times New Roman" w:ascii="Times New Roman" w:hAnsi="Times New Roman"/>
          <w:i/>
          <w:iCs/>
        </w:rPr>
        <w:t>et al.</w:t>
      </w:r>
      <w:r>
        <w:rPr>
          <w:rFonts w:cs="Times New Roman" w:ascii="Times New Roman" w:hAnsi="Times New Roman"/>
        </w:rPr>
        <w:t xml:space="preserve"> Interactive anticancer effect of nanomicellar curcumin and galbanic acid combination therapy with some common chemotherapeutics in colon carcinoma cells. </w:t>
      </w:r>
      <w:r>
        <w:rPr>
          <w:rFonts w:cs="Times New Roman" w:ascii="Times New Roman" w:hAnsi="Times New Roman"/>
          <w:i/>
          <w:iCs/>
        </w:rPr>
        <w:t>Avicenna J. Phytomedicine</w:t>
      </w:r>
      <w:r>
        <w:rPr>
          <w:rFonts w:cs="Times New Roman" w:ascii="Times New Roman" w:hAnsi="Times New Roman"/>
        </w:rPr>
        <w:t xml:space="preserve"> </w:t>
      </w:r>
      <w:r>
        <w:rPr>
          <w:rFonts w:cs="Times New Roman" w:ascii="Times New Roman" w:hAnsi="Times New Roman"/>
          <w:b/>
          <w:bCs/>
        </w:rPr>
        <w:t>9</w:t>
      </w:r>
      <w:r>
        <w:rPr>
          <w:rFonts w:cs="Times New Roman" w:ascii="Times New Roman" w:hAnsi="Times New Roman"/>
        </w:rPr>
        <w:t>, 237–247 (2019).</w:t>
      </w:r>
    </w:p>
    <w:p>
      <w:pPr>
        <w:pStyle w:val="Bibliography"/>
        <w:rPr>
          <w:rFonts w:ascii="Times New Roman" w:hAnsi="Times New Roman" w:cs="Times New Roman"/>
        </w:rPr>
      </w:pPr>
      <w:r>
        <w:rPr>
          <w:rFonts w:cs="Times New Roman" w:ascii="Times New Roman" w:hAnsi="Times New Roman"/>
        </w:rPr>
        <w:t>71.</w:t>
        <w:tab/>
        <w:t xml:space="preserve">Gkionis, L. </w:t>
      </w:r>
      <w:r>
        <w:rPr>
          <w:rFonts w:cs="Times New Roman" w:ascii="Times New Roman" w:hAnsi="Times New Roman"/>
          <w:i/>
          <w:iCs/>
        </w:rPr>
        <w:t>et al.</w:t>
      </w:r>
      <w:r>
        <w:rPr>
          <w:rFonts w:cs="Times New Roman" w:ascii="Times New Roman" w:hAnsi="Times New Roman"/>
        </w:rPr>
        <w:t xml:space="preserve"> Investigation of the cytotoxicity of bioinspired coumarin analogues towards human breast cancer cells. </w:t>
      </w:r>
      <w:r>
        <w:rPr>
          <w:rFonts w:cs="Times New Roman" w:ascii="Times New Roman" w:hAnsi="Times New Roman"/>
          <w:i/>
          <w:iCs/>
        </w:rPr>
        <w:t>Mol. Divers.</w:t>
      </w:r>
      <w:r>
        <w:rPr>
          <w:rFonts w:cs="Times New Roman" w:ascii="Times New Roman" w:hAnsi="Times New Roman"/>
        </w:rPr>
        <w:t xml:space="preserve"> </w:t>
      </w:r>
      <w:r>
        <w:rPr>
          <w:rFonts w:cs="Times New Roman" w:ascii="Times New Roman" w:hAnsi="Times New Roman"/>
          <w:b/>
          <w:bCs/>
        </w:rPr>
        <w:t>25</w:t>
      </w:r>
      <w:r>
        <w:rPr>
          <w:rFonts w:cs="Times New Roman" w:ascii="Times New Roman" w:hAnsi="Times New Roman"/>
        </w:rPr>
        <w:t>, 307–321 (2021).</w:t>
      </w:r>
    </w:p>
    <w:p>
      <w:pPr>
        <w:pStyle w:val="Bibliography"/>
        <w:rPr>
          <w:rFonts w:ascii="Times New Roman" w:hAnsi="Times New Roman" w:cs="Times New Roman"/>
        </w:rPr>
      </w:pPr>
      <w:r>
        <w:rPr>
          <w:rFonts w:cs="Times New Roman" w:ascii="Times New Roman" w:hAnsi="Times New Roman"/>
        </w:rPr>
        <w:t>72.</w:t>
        <w:tab/>
        <w:t xml:space="preserve">Farahi, M., Hashemi, R., Rassouli, F. B., Iranshahi, M. &amp; Soleymanifard, S. Investigation of the Toxic Effects of Galbanic Acid with Ionizing Radiation on Human Colon Cancer HT-29 Cells. </w:t>
      </w:r>
      <w:r>
        <w:rPr>
          <w:rFonts w:cs="Times New Roman" w:ascii="Times New Roman" w:hAnsi="Times New Roman"/>
          <w:i/>
          <w:iCs/>
        </w:rPr>
        <w:t>Pharm. Chem. J.</w:t>
      </w:r>
      <w:r>
        <w:rPr>
          <w:rFonts w:cs="Times New Roman" w:ascii="Times New Roman" w:hAnsi="Times New Roman"/>
        </w:rPr>
        <w:t xml:space="preserve"> </w:t>
      </w:r>
      <w:r>
        <w:rPr>
          <w:rFonts w:cs="Times New Roman" w:ascii="Times New Roman" w:hAnsi="Times New Roman"/>
          <w:b/>
          <w:bCs/>
        </w:rPr>
        <w:t>57</w:t>
      </w:r>
      <w:r>
        <w:rPr>
          <w:rFonts w:cs="Times New Roman" w:ascii="Times New Roman" w:hAnsi="Times New Roman"/>
        </w:rPr>
        <w:t>, 408–413 (2023).</w:t>
      </w:r>
    </w:p>
    <w:p>
      <w:pPr>
        <w:pStyle w:val="Bibliography"/>
        <w:rPr>
          <w:rFonts w:ascii="Times New Roman" w:hAnsi="Times New Roman" w:cs="Times New Roman"/>
        </w:rPr>
      </w:pPr>
      <w:r>
        <w:rPr>
          <w:rFonts w:cs="Times New Roman" w:ascii="Times New Roman" w:hAnsi="Times New Roman"/>
        </w:rPr>
        <w:t>73.</w:t>
        <w:tab/>
        <w:t xml:space="preserve">Li, D. </w:t>
      </w:r>
      <w:r>
        <w:rPr>
          <w:rFonts w:cs="Times New Roman" w:ascii="Times New Roman" w:hAnsi="Times New Roman"/>
          <w:i/>
          <w:iCs/>
        </w:rPr>
        <w:t>et al.</w:t>
      </w:r>
      <w:r>
        <w:rPr>
          <w:rFonts w:cs="Times New Roman" w:ascii="Times New Roman" w:hAnsi="Times New Roman"/>
        </w:rPr>
        <w:t xml:space="preserve"> Natural Product Auraptene Targets SLC7A11 for Degradation and Induces Hepatocellular Carcinoma Ferroptosis. </w:t>
      </w:r>
      <w:r>
        <w:rPr>
          <w:rFonts w:cs="Times New Roman" w:ascii="Times New Roman" w:hAnsi="Times New Roman"/>
          <w:i/>
          <w:iCs/>
        </w:rPr>
        <w:t>Antioxidants</w:t>
      </w:r>
      <w:r>
        <w:rPr>
          <w:rFonts w:cs="Times New Roman" w:ascii="Times New Roman" w:hAnsi="Times New Roman"/>
        </w:rPr>
        <w:t xml:space="preserve"> </w:t>
      </w:r>
      <w:r>
        <w:rPr>
          <w:rFonts w:cs="Times New Roman" w:ascii="Times New Roman" w:hAnsi="Times New Roman"/>
          <w:b/>
          <w:bCs/>
        </w:rPr>
        <w:t>13</w:t>
      </w:r>
      <w:r>
        <w:rPr>
          <w:rFonts w:cs="Times New Roman" w:ascii="Times New Roman" w:hAnsi="Times New Roman"/>
        </w:rPr>
        <w:t>, 1015 (2024).</w:t>
      </w:r>
    </w:p>
    <w:p>
      <w:pPr>
        <w:pStyle w:val="Bibliography"/>
        <w:rPr>
          <w:rFonts w:ascii="Times New Roman" w:hAnsi="Times New Roman" w:cs="Times New Roman"/>
        </w:rPr>
      </w:pPr>
      <w:r>
        <w:rPr>
          <w:rFonts w:cs="Times New Roman" w:ascii="Times New Roman" w:hAnsi="Times New Roman"/>
        </w:rPr>
        <w:t>74.</w:t>
        <w:tab/>
        <w:t xml:space="preserve">Jalilzadeh, N. </w:t>
      </w:r>
      <w:r>
        <w:rPr>
          <w:rFonts w:cs="Times New Roman" w:ascii="Times New Roman" w:hAnsi="Times New Roman"/>
          <w:i/>
          <w:iCs/>
        </w:rPr>
        <w:t>et al.</w:t>
      </w:r>
      <w:r>
        <w:rPr>
          <w:rFonts w:cs="Times New Roman" w:ascii="Times New Roman" w:hAnsi="Times New Roman"/>
        </w:rPr>
        <w:t xml:space="preserve"> Novel nano-vehicle for delivery and efficiency of anticancer auraptene against colon cancer cells. </w:t>
      </w:r>
      <w:r>
        <w:rPr>
          <w:rFonts w:cs="Times New Roman" w:ascii="Times New Roman" w:hAnsi="Times New Roman"/>
          <w:i/>
          <w:iCs/>
        </w:rPr>
        <w:t>Sci. Rep.</w:t>
      </w:r>
      <w:r>
        <w:rPr>
          <w:rFonts w:cs="Times New Roman" w:ascii="Times New Roman" w:hAnsi="Times New Roman"/>
        </w:rPr>
        <w:t xml:space="preserve"> </w:t>
      </w:r>
      <w:r>
        <w:rPr>
          <w:rFonts w:cs="Times New Roman" w:ascii="Times New Roman" w:hAnsi="Times New Roman"/>
          <w:b/>
          <w:bCs/>
        </w:rPr>
        <w:t>10</w:t>
      </w:r>
      <w:r>
        <w:rPr>
          <w:rFonts w:cs="Times New Roman" w:ascii="Times New Roman" w:hAnsi="Times New Roman"/>
        </w:rPr>
        <w:t>, 1606 (2020).</w:t>
      </w:r>
    </w:p>
    <w:p>
      <w:pPr>
        <w:pStyle w:val="Bibliography"/>
        <w:rPr>
          <w:rFonts w:ascii="Times New Roman" w:hAnsi="Times New Roman" w:cs="Times New Roman"/>
        </w:rPr>
      </w:pPr>
      <w:r>
        <w:rPr>
          <w:rFonts w:cs="Times New Roman" w:ascii="Times New Roman" w:hAnsi="Times New Roman"/>
        </w:rPr>
        <w:t>75.</w:t>
        <w:tab/>
        <w:t xml:space="preserve">Afsharzadeh, M., Hashemi, M., Babaei, M., Abnous, K. &amp; Ramezani, M. PEG‐PLA nanoparticles decorated with small‐molecule PSMA ligand for targeted delivery of galbanic acid and docetaxel to prostate cancer cells. </w:t>
      </w:r>
      <w:r>
        <w:rPr>
          <w:rFonts w:cs="Times New Roman" w:ascii="Times New Roman" w:hAnsi="Times New Roman"/>
          <w:i/>
          <w:iCs/>
        </w:rPr>
        <w:t>J. Cell. Physiol.</w:t>
      </w:r>
      <w:r>
        <w:rPr>
          <w:rFonts w:cs="Times New Roman" w:ascii="Times New Roman" w:hAnsi="Times New Roman"/>
        </w:rPr>
        <w:t xml:space="preserve"> </w:t>
      </w:r>
      <w:r>
        <w:rPr>
          <w:rFonts w:cs="Times New Roman" w:ascii="Times New Roman" w:hAnsi="Times New Roman"/>
          <w:b/>
          <w:bCs/>
        </w:rPr>
        <w:t>235</w:t>
      </w:r>
      <w:r>
        <w:rPr>
          <w:rFonts w:cs="Times New Roman" w:ascii="Times New Roman" w:hAnsi="Times New Roman"/>
        </w:rPr>
        <w:t>, 4618–4630 (2020).</w:t>
      </w:r>
    </w:p>
    <w:p>
      <w:pPr>
        <w:pStyle w:val="Bibliography"/>
        <w:rPr>
          <w:rFonts w:ascii="Times New Roman" w:hAnsi="Times New Roman" w:cs="Times New Roman"/>
        </w:rPr>
      </w:pPr>
      <w:r>
        <w:rPr>
          <w:rFonts w:cs="Times New Roman" w:ascii="Times New Roman" w:hAnsi="Times New Roman"/>
        </w:rPr>
        <w:t>76.</w:t>
        <w:tab/>
        <w:t xml:space="preserve">Epifano, F., Genovese, S., Palumbo, L., Collevecchio, C. &amp; Fiorito, S. Protection of Mitochondrial Potential and Activity by Oxyprenylated Phenylpropanoids. </w:t>
      </w:r>
      <w:r>
        <w:rPr>
          <w:rFonts w:cs="Times New Roman" w:ascii="Times New Roman" w:hAnsi="Times New Roman"/>
          <w:i/>
          <w:iCs/>
        </w:rPr>
        <w:t>Antioxidants</w:t>
      </w:r>
      <w:r>
        <w:rPr>
          <w:rFonts w:cs="Times New Roman" w:ascii="Times New Roman" w:hAnsi="Times New Roman"/>
        </w:rPr>
        <w:t xml:space="preserve"> </w:t>
      </w:r>
      <w:r>
        <w:rPr>
          <w:rFonts w:cs="Times New Roman" w:ascii="Times New Roman" w:hAnsi="Times New Roman"/>
          <w:b/>
          <w:bCs/>
        </w:rPr>
        <w:t>12</w:t>
      </w:r>
      <w:r>
        <w:rPr>
          <w:rFonts w:cs="Times New Roman" w:ascii="Times New Roman" w:hAnsi="Times New Roman"/>
        </w:rPr>
        <w:t>, 259 (2023).</w:t>
      </w:r>
    </w:p>
    <w:p>
      <w:pPr>
        <w:pStyle w:val="Bibliography"/>
        <w:rPr>
          <w:rFonts w:ascii="Times New Roman" w:hAnsi="Times New Roman" w:cs="Times New Roman"/>
        </w:rPr>
      </w:pPr>
      <w:r>
        <w:rPr>
          <w:rFonts w:cs="Times New Roman" w:ascii="Times New Roman" w:hAnsi="Times New Roman"/>
        </w:rPr>
        <w:t>77.</w:t>
        <w:tab/>
        <w:t xml:space="preserve">Tang, M. </w:t>
      </w:r>
      <w:r>
        <w:rPr>
          <w:rFonts w:cs="Times New Roman" w:ascii="Times New Roman" w:hAnsi="Times New Roman"/>
          <w:i/>
          <w:iCs/>
        </w:rPr>
        <w:t>et al.</w:t>
      </w:r>
      <w:r>
        <w:rPr>
          <w:rFonts w:cs="Times New Roman" w:ascii="Times New Roman" w:hAnsi="Times New Roman"/>
        </w:rPr>
        <w:t xml:space="preserve"> Protective effects of citrus nobiletin and auraptene in transgenic rats developing adenocarcinoma of the prostate (TRAP) and human prostate carcinoma cells. </w:t>
      </w:r>
      <w:r>
        <w:rPr>
          <w:rFonts w:cs="Times New Roman" w:ascii="Times New Roman" w:hAnsi="Times New Roman"/>
          <w:i/>
          <w:iCs/>
        </w:rPr>
        <w:t>Cancer Sci.</w:t>
      </w:r>
      <w:r>
        <w:rPr>
          <w:rFonts w:cs="Times New Roman" w:ascii="Times New Roman" w:hAnsi="Times New Roman"/>
        </w:rPr>
        <w:t xml:space="preserve"> </w:t>
      </w:r>
      <w:r>
        <w:rPr>
          <w:rFonts w:cs="Times New Roman" w:ascii="Times New Roman" w:hAnsi="Times New Roman"/>
          <w:b/>
          <w:bCs/>
        </w:rPr>
        <w:t>98</w:t>
      </w:r>
      <w:r>
        <w:rPr>
          <w:rFonts w:cs="Times New Roman" w:ascii="Times New Roman" w:hAnsi="Times New Roman"/>
        </w:rPr>
        <w:t>, 471–477 (2007).</w:t>
      </w:r>
    </w:p>
    <w:p>
      <w:pPr>
        <w:pStyle w:val="Bibliography"/>
        <w:rPr>
          <w:rFonts w:ascii="Times New Roman" w:hAnsi="Times New Roman" w:cs="Times New Roman"/>
        </w:rPr>
      </w:pPr>
      <w:r>
        <w:rPr>
          <w:rFonts w:cs="Times New Roman" w:ascii="Times New Roman" w:hAnsi="Times New Roman"/>
        </w:rPr>
        <w:t>78.</w:t>
        <w:tab/>
        <w:t xml:space="preserve">Bagheri, R. </w:t>
      </w:r>
      <w:r>
        <w:rPr>
          <w:rFonts w:cs="Times New Roman" w:ascii="Times New Roman" w:hAnsi="Times New Roman"/>
          <w:i/>
          <w:iCs/>
        </w:rPr>
        <w:t>et al.</w:t>
      </w:r>
      <w:r>
        <w:rPr>
          <w:rFonts w:cs="Times New Roman" w:ascii="Times New Roman" w:hAnsi="Times New Roman"/>
        </w:rPr>
        <w:t xml:space="preserve"> Radiation Response of Human Leukemia/Lymphoma Cells was Improved by 7-Geranyloxycoumarin. </w:t>
      </w:r>
      <w:r>
        <w:rPr>
          <w:rFonts w:cs="Times New Roman" w:ascii="Times New Roman" w:hAnsi="Times New Roman"/>
          <w:i/>
          <w:iCs/>
        </w:rPr>
        <w:t>Dose-Response</w:t>
      </w:r>
      <w:r>
        <w:rPr>
          <w:rFonts w:cs="Times New Roman" w:ascii="Times New Roman" w:hAnsi="Times New Roman"/>
        </w:rPr>
        <w:t xml:space="preserve"> </w:t>
      </w:r>
      <w:r>
        <w:rPr>
          <w:rFonts w:cs="Times New Roman" w:ascii="Times New Roman" w:hAnsi="Times New Roman"/>
          <w:b/>
          <w:bCs/>
        </w:rPr>
        <w:t>20</w:t>
      </w:r>
      <w:r>
        <w:rPr>
          <w:rFonts w:cs="Times New Roman" w:ascii="Times New Roman" w:hAnsi="Times New Roman"/>
        </w:rPr>
        <w:t>, 15593258221124479 (2022).</w:t>
      </w:r>
    </w:p>
    <w:p>
      <w:pPr>
        <w:pStyle w:val="Bibliography"/>
        <w:rPr>
          <w:rFonts w:ascii="Times New Roman" w:hAnsi="Times New Roman" w:cs="Times New Roman"/>
        </w:rPr>
      </w:pPr>
      <w:r>
        <w:rPr>
          <w:rFonts w:cs="Times New Roman" w:ascii="Times New Roman" w:hAnsi="Times New Roman"/>
        </w:rPr>
        <w:t>79.</w:t>
        <w:tab/>
        <w:t xml:space="preserve">Wróblewska-Łuczka, P., Góralczyk, A. &amp; Łuszczki, J. J. Synergy, Additivity and Antagonism between Esculetin and Six Commonly Used Chemotherapeutics in Various Malignant Melanoma Cell Lines—An Isobolographic Analysis. </w:t>
      </w:r>
      <w:r>
        <w:rPr>
          <w:rFonts w:cs="Times New Roman" w:ascii="Times New Roman" w:hAnsi="Times New Roman"/>
          <w:i/>
          <w:iCs/>
        </w:rPr>
        <w:t>Molecules</w:t>
      </w:r>
      <w:r>
        <w:rPr>
          <w:rFonts w:cs="Times New Roman" w:ascii="Times New Roman" w:hAnsi="Times New Roman"/>
        </w:rPr>
        <w:t xml:space="preserve"> </w:t>
      </w:r>
      <w:r>
        <w:rPr>
          <w:rFonts w:cs="Times New Roman" w:ascii="Times New Roman" w:hAnsi="Times New Roman"/>
          <w:b/>
          <w:bCs/>
        </w:rPr>
        <w:t>28</w:t>
      </w:r>
      <w:r>
        <w:rPr>
          <w:rFonts w:cs="Times New Roman" w:ascii="Times New Roman" w:hAnsi="Times New Roman"/>
        </w:rPr>
        <w:t>, 3889 (2023).</w:t>
      </w:r>
    </w:p>
    <w:p>
      <w:pPr>
        <w:pStyle w:val="Bibliography"/>
        <w:rPr>
          <w:rFonts w:ascii="Times New Roman" w:hAnsi="Times New Roman" w:cs="Times New Roman"/>
        </w:rPr>
      </w:pPr>
      <w:r>
        <w:rPr>
          <w:rFonts w:cs="Times New Roman" w:ascii="Times New Roman" w:hAnsi="Times New Roman"/>
        </w:rPr>
        <w:t>80.</w:t>
        <w:tab/>
        <w:t xml:space="preserve">Khunluck, T., Kukongviriyapan, V., Senggunprai, L., Duangarsong, W. &amp; Prawan, A. The Inhibition Kinetics and Potential Anti-Migration Activity of NQO1 Inhibitory Coumarins on Cholangiocarcinoma Cells. </w:t>
      </w:r>
      <w:r>
        <w:rPr>
          <w:rFonts w:cs="Times New Roman" w:ascii="Times New Roman" w:hAnsi="Times New Roman"/>
          <w:i/>
          <w:iCs/>
        </w:rPr>
        <w:t>Integr. Cancer Ther.</w:t>
      </w:r>
      <w:r>
        <w:rPr>
          <w:rFonts w:cs="Times New Roman" w:ascii="Times New Roman" w:hAnsi="Times New Roman"/>
        </w:rPr>
        <w:t xml:space="preserve"> </w:t>
      </w:r>
      <w:r>
        <w:rPr>
          <w:rFonts w:cs="Times New Roman" w:ascii="Times New Roman" w:hAnsi="Times New Roman"/>
          <w:b/>
          <w:bCs/>
        </w:rPr>
        <w:t>18</w:t>
      </w:r>
      <w:r>
        <w:rPr>
          <w:rFonts w:cs="Times New Roman" w:ascii="Times New Roman" w:hAnsi="Times New Roman"/>
        </w:rPr>
        <w:t>, 153473541882044 (2019).</w:t>
      </w:r>
    </w:p>
    <w:p>
      <w:pPr>
        <w:pStyle w:val="Bibliography"/>
        <w:rPr>
          <w:rFonts w:ascii="Times New Roman" w:hAnsi="Times New Roman" w:cs="Times New Roman"/>
        </w:rPr>
      </w:pPr>
      <w:r>
        <w:rPr>
          <w:rFonts w:cs="Times New Roman" w:ascii="Times New Roman" w:hAnsi="Times New Roman"/>
        </w:rPr>
        <w:t>81.</w:t>
        <w:tab/>
        <w:t xml:space="preserve">Ziai, S. A., Gholami, O., Iranshahi, M., Zamani, A. H. &amp; Jeddi-Tehrani, M. Umbelliprenin Induces Apoptosis in CLL Cell Lines. </w:t>
      </w:r>
      <w:r>
        <w:rPr>
          <w:rFonts w:cs="Times New Roman" w:ascii="Times New Roman" w:hAnsi="Times New Roman"/>
          <w:i/>
          <w:iCs/>
        </w:rPr>
        <w:t>Iran. J. Pharm. Res. IJPR</w:t>
      </w:r>
      <w:r>
        <w:rPr>
          <w:rFonts w:cs="Times New Roman" w:ascii="Times New Roman" w:hAnsi="Times New Roman"/>
        </w:rPr>
        <w:t xml:space="preserve"> </w:t>
      </w:r>
      <w:r>
        <w:rPr>
          <w:rFonts w:cs="Times New Roman" w:ascii="Times New Roman" w:hAnsi="Times New Roman"/>
          <w:b/>
          <w:bCs/>
        </w:rPr>
        <w:t>11</w:t>
      </w:r>
      <w:r>
        <w:rPr>
          <w:rFonts w:cs="Times New Roman" w:ascii="Times New Roman" w:hAnsi="Times New Roman"/>
        </w:rPr>
        <w:t>, 653–659 (2012).</w:t>
      </w:r>
    </w:p>
    <w:p>
      <w:pPr>
        <w:pStyle w:val="Bibliography"/>
        <w:rPr>
          <w:rFonts w:ascii="Times New Roman" w:hAnsi="Times New Roman" w:cs="Times New Roman"/>
        </w:rPr>
      </w:pPr>
      <w:r>
        <w:rPr>
          <w:rFonts w:cs="Times New Roman" w:ascii="Times New Roman" w:hAnsi="Times New Roman"/>
        </w:rPr>
        <w:t>82.</w:t>
        <w:tab/>
        <w:t xml:space="preserve">Khaghanzadeh, N., Mojtahedi, Z., Ramezani, M., Erfani, N. &amp; Ghaderi, A. Umbelliprenin is cytotoxic against QU-DB large cell lung cancer cell line but anti-proliferative against A549 adenocarcinoma cells. </w:t>
      </w:r>
      <w:r>
        <w:rPr>
          <w:rFonts w:cs="Times New Roman" w:ascii="Times New Roman" w:hAnsi="Times New Roman"/>
          <w:i/>
          <w:iCs/>
        </w:rPr>
        <w:t>DARU J. Pharm. Sci.</w:t>
      </w:r>
      <w:r>
        <w:rPr>
          <w:rFonts w:cs="Times New Roman" w:ascii="Times New Roman" w:hAnsi="Times New Roman"/>
        </w:rPr>
        <w:t xml:space="preserve"> </w:t>
      </w:r>
      <w:r>
        <w:rPr>
          <w:rFonts w:cs="Times New Roman" w:ascii="Times New Roman" w:hAnsi="Times New Roman"/>
          <w:b/>
          <w:bCs/>
        </w:rPr>
        <w:t>20</w:t>
      </w:r>
      <w:r>
        <w:rPr>
          <w:rFonts w:cs="Times New Roman" w:ascii="Times New Roman" w:hAnsi="Times New Roman"/>
        </w:rPr>
        <w:t>, 69 (2012).</w:t>
      </w:r>
    </w:p>
    <w:p>
      <w:pPr>
        <w:pStyle w:val="Bibliography"/>
        <w:rPr>
          <w:rFonts w:ascii="Times New Roman" w:hAnsi="Times New Roman" w:cs="Times New Roman"/>
        </w:rPr>
      </w:pPr>
      <w:r>
        <w:rPr>
          <w:rFonts w:cs="Times New Roman" w:ascii="Times New Roman" w:hAnsi="Times New Roman"/>
        </w:rPr>
        <w:t>83.</w:t>
        <w:tab/>
        <w:t xml:space="preserve">Rashidi, M. </w:t>
      </w:r>
      <w:r>
        <w:rPr>
          <w:rFonts w:cs="Times New Roman" w:ascii="Times New Roman" w:hAnsi="Times New Roman"/>
          <w:i/>
          <w:iCs/>
        </w:rPr>
        <w:t>et al.</w:t>
      </w:r>
      <w:r>
        <w:rPr>
          <w:rFonts w:cs="Times New Roman" w:ascii="Times New Roman" w:hAnsi="Times New Roman"/>
        </w:rPr>
        <w:t xml:space="preserve"> Umbelliprenin is Potentially Toxic Against the HT29, CT26, MCF-7, 4T1, A172, and GL26 Cell Lines, Potentially Harmful Against Bone Marrow-Derived Stem Cells, and Non-Toxic Against Peripheral Blood Mononuclear Cells. </w:t>
      </w:r>
      <w:r>
        <w:rPr>
          <w:rFonts w:cs="Times New Roman" w:ascii="Times New Roman" w:hAnsi="Times New Roman"/>
          <w:i/>
          <w:iCs/>
        </w:rPr>
        <w:t>Iran. Red Crescent Med. J.</w:t>
      </w:r>
      <w:r>
        <w:rPr>
          <w:rFonts w:cs="Times New Roman" w:ascii="Times New Roman" w:hAnsi="Times New Roman"/>
        </w:rPr>
        <w:t xml:space="preserve"> </w:t>
      </w:r>
      <w:r>
        <w:rPr>
          <w:rFonts w:cs="Times New Roman" w:ascii="Times New Roman" w:hAnsi="Times New Roman"/>
          <w:b/>
          <w:bCs/>
        </w:rPr>
        <w:t>18</w:t>
      </w:r>
      <w:r>
        <w:rPr>
          <w:rFonts w:cs="Times New Roman" w:ascii="Times New Roman" w:hAnsi="Times New Roman"/>
        </w:rPr>
        <w:t>, (2016).</w:t>
      </w:r>
    </w:p>
    <w:p>
      <w:pPr>
        <w:pStyle w:val="Bibliography"/>
        <w:rPr>
          <w:rFonts w:ascii="Times New Roman" w:hAnsi="Times New Roman" w:cs="Times New Roman"/>
        </w:rPr>
      </w:pPr>
      <w:r>
        <w:rPr>
          <w:rFonts w:cs="Times New Roman" w:ascii="Times New Roman" w:hAnsi="Times New Roman"/>
        </w:rPr>
        <w:t>84.</w:t>
        <w:tab/>
        <w:t xml:space="preserve">Zhang, L., Sun, X., Si, J., Li, G. &amp; Cao, L. Umbelliprenin isolated from Ferula sinkiangensis inhibits tumor growth and migration through the disturbance of Wnt signaling pathway in gastric cancer. </w:t>
      </w:r>
      <w:r>
        <w:rPr>
          <w:rFonts w:cs="Times New Roman" w:ascii="Times New Roman" w:hAnsi="Times New Roman"/>
          <w:i/>
          <w:iCs/>
        </w:rPr>
        <w:t>PLOS ONE</w:t>
      </w:r>
      <w:r>
        <w:rPr>
          <w:rFonts w:cs="Times New Roman" w:ascii="Times New Roman" w:hAnsi="Times New Roman"/>
        </w:rPr>
        <w:t xml:space="preserve"> </w:t>
      </w:r>
      <w:r>
        <w:rPr>
          <w:rFonts w:cs="Times New Roman" w:ascii="Times New Roman" w:hAnsi="Times New Roman"/>
          <w:b/>
          <w:bCs/>
        </w:rPr>
        <w:t>14</w:t>
      </w:r>
      <w:r>
        <w:rPr>
          <w:rFonts w:cs="Times New Roman" w:ascii="Times New Roman" w:hAnsi="Times New Roman"/>
        </w:rPr>
        <w:t>, e0207169 (2019).</w:t>
      </w:r>
    </w:p>
    <w:p>
      <w:pPr>
        <w:pStyle w:val="Bibliography"/>
        <w:rPr>
          <w:rFonts w:ascii="Times New Roman" w:hAnsi="Times New Roman" w:cs="Times New Roman"/>
        </w:rPr>
      </w:pPr>
      <w:r>
        <w:rPr>
          <w:rFonts w:cs="Times New Roman" w:ascii="Times New Roman" w:hAnsi="Times New Roman"/>
        </w:rPr>
        <w:t>85.</w:t>
        <w:tab/>
        <w:t xml:space="preserve">Mahdifar, M. </w:t>
      </w:r>
      <w:r>
        <w:rPr>
          <w:rFonts w:cs="Times New Roman" w:ascii="Times New Roman" w:hAnsi="Times New Roman"/>
          <w:i/>
          <w:iCs/>
        </w:rPr>
        <w:t>et al.</w:t>
      </w:r>
      <w:r>
        <w:rPr>
          <w:rFonts w:cs="Times New Roman" w:ascii="Times New Roman" w:hAnsi="Times New Roman"/>
        </w:rPr>
        <w:t xml:space="preserve"> Galbanic Acid Improves Accumulation and Toxicity of Arsenic Trioxide in MT-2Cells. </w:t>
      </w:r>
      <w:r>
        <w:rPr>
          <w:rFonts w:cs="Times New Roman" w:ascii="Times New Roman" w:hAnsi="Times New Roman"/>
          <w:i/>
          <w:iCs/>
        </w:rPr>
        <w:t>Anticancer Agents Med. Chem.</w:t>
      </w:r>
      <w:r>
        <w:rPr>
          <w:rFonts w:cs="Times New Roman" w:ascii="Times New Roman" w:hAnsi="Times New Roman"/>
        </w:rPr>
        <w:t xml:space="preserve"> </w:t>
      </w:r>
      <w:r>
        <w:rPr>
          <w:rFonts w:cs="Times New Roman" w:ascii="Times New Roman" w:hAnsi="Times New Roman"/>
          <w:b/>
          <w:bCs/>
        </w:rPr>
        <w:t>23</w:t>
      </w:r>
      <w:r>
        <w:rPr>
          <w:rFonts w:cs="Times New Roman" w:ascii="Times New Roman" w:hAnsi="Times New Roman"/>
        </w:rPr>
        <w:t>, 699–708 (2023).</w:t>
      </w:r>
    </w:p>
    <w:p>
      <w:pPr>
        <w:pStyle w:val="Bibliography"/>
        <w:rPr>
          <w:rFonts w:ascii="Times New Roman" w:hAnsi="Times New Roman" w:cs="Times New Roman"/>
        </w:rPr>
      </w:pPr>
      <w:r>
        <w:rPr>
          <w:rFonts w:cs="Times New Roman" w:ascii="Times New Roman" w:hAnsi="Times New Roman"/>
        </w:rPr>
        <w:t>86.</w:t>
        <w:tab/>
        <w:t xml:space="preserve">Movaffagh, J. </w:t>
      </w:r>
      <w:r>
        <w:rPr>
          <w:rFonts w:cs="Times New Roman" w:ascii="Times New Roman" w:hAnsi="Times New Roman"/>
          <w:i/>
          <w:iCs/>
        </w:rPr>
        <w:t>et al.</w:t>
      </w:r>
      <w:r>
        <w:rPr>
          <w:rFonts w:cs="Times New Roman" w:ascii="Times New Roman" w:hAnsi="Times New Roman"/>
        </w:rPr>
        <w:t xml:space="preserve"> 7-geranyloxycoumarin enhanced radiotherapy effects on human gastric adenocarcinoma cells. </w:t>
      </w:r>
      <w:r>
        <w:rPr>
          <w:rFonts w:cs="Times New Roman" w:ascii="Times New Roman" w:hAnsi="Times New Roman"/>
          <w:i/>
          <w:iCs/>
        </w:rPr>
        <w:t>J. Cancer Res. Ther.</w:t>
      </w:r>
      <w:r>
        <w:rPr>
          <w:rFonts w:cs="Times New Roman" w:ascii="Times New Roman" w:hAnsi="Times New Roman"/>
        </w:rPr>
        <w:t xml:space="preserve"> </w:t>
      </w:r>
      <w:r>
        <w:rPr>
          <w:rFonts w:cs="Times New Roman" w:ascii="Times New Roman" w:hAnsi="Times New Roman"/>
          <w:b/>
          <w:bCs/>
        </w:rPr>
        <w:t>19</w:t>
      </w:r>
      <w:r>
        <w:rPr>
          <w:rFonts w:cs="Times New Roman" w:ascii="Times New Roman" w:hAnsi="Times New Roman"/>
        </w:rPr>
        <w:t>, 590–594 (2023).</w:t>
      </w:r>
    </w:p>
    <w:p>
      <w:pPr>
        <w:pStyle w:val="Bibliography"/>
        <w:rPr>
          <w:rFonts w:ascii="Times New Roman" w:hAnsi="Times New Roman" w:cs="Times New Roman"/>
        </w:rPr>
      </w:pPr>
      <w:r/>
      <w:r>
        <w:rPr>
          <w:rFonts w:cs="Times New Roman" w:ascii="Times New Roman" w:hAnsi="Times New Roman"/>
        </w:rPr>
        <w:fldChar w:fldCharType="end"/>
      </w:r>
      <w:r>
        <w:rPr>
          <w:rFonts w:cs="Times New Roman" w:ascii="Times New Roman" w:hAnsi="Times New Roman"/>
        </w:rPr>
      </w:r>
    </w:p>
    <w:p>
      <w:pPr>
        <w:pStyle w:val="Normal"/>
        <w:spacing w:before="240" w:after="0"/>
        <w:jc w:val="both"/>
        <w:rPr>
          <w:rFonts w:ascii="Times New Roman" w:hAnsi="Times New Roman" w:cs="Times New Roman"/>
          <w:bCs/>
        </w:rPr>
      </w:pPr>
      <w:r>
        <w:rPr>
          <w:rFonts w:cs="Times New Roman" w:ascii="Times New Roman" w:hAnsi="Times New Roman"/>
        </w:rPr>
        <w:t xml:space="preserve"> </w:t>
      </w:r>
    </w:p>
    <w:tbl>
      <w:tblPr>
        <w:tblStyle w:val="TableGrid"/>
        <w:tblpPr w:vertAnchor="margin" w:horzAnchor="margin" w:leftFromText="180" w:rightFromText="180" w:tblpX="0" w:tblpY="748"/>
        <w:tblW w:w="935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4675"/>
        <w:gridCol w:w="4675"/>
      </w:tblGrid>
      <w:tr>
        <w:trPr/>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Metric</w:t>
            </w:r>
          </w:p>
        </w:tc>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Formula and Description</w:t>
            </w:r>
          </w:p>
        </w:tc>
      </w:tr>
      <w:tr>
        <w:trPr/>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Mean Squared Error</w:t>
            </w:r>
          </w:p>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(MSE)</w:t>
            </w:r>
          </w:p>
        </w:tc>
        <w:tc>
          <w:tcPr>
            <w:tcW w:w="4675" w:type="dxa"/>
            <w:tcBorders/>
          </w:tcPr>
          <w:p>
            <w:pPr>
              <w:pStyle w:val="Normal"/>
              <w:widowControl/>
              <w:suppressAutoHyphens w:val="true"/>
              <w:spacing w:lineRule="auto" w:line="240" w:before="240" w:after="0"/>
              <w:jc w:val="start"/>
              <w:rPr>
                <w:rFonts w:ascii="Times New Roman" w:hAnsi="Times New Roman" w:cs="Times New Roman"/>
              </w:rPr>
            </w:pPr>
            <w:r>
              <w:rPr>
                <w:rFonts w:eastAsia="Cambria" w:cs="Times New Roman" w:ascii="Times New Roman" w:hAnsi="Times New Roman"/>
                <w:kern w:val="2"/>
                <w:sz w:val="24"/>
                <w:szCs w:val="24"/>
                <w:lang w:val="en-US" w:eastAsia="en-US" w:bidi="ar-SA"/>
              </w:rPr>
              <w:t>The Mean Squared Error (MSE) is calculated as:</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r>
                  <m:t xml:space="preserve">MSE</m:t>
                </m:r>
                <m:r>
                  <m:rPr>
                    <m:lit/>
                    <m:nor/>
                  </m:rPr>
                  <m:t xml:space="preserve">=</m:t>
                </m:r>
                <m:f>
                  <m:num>
                    <m:r>
                      <m:t xml:space="preserve">1</m:t>
                    </m:r>
                  </m:num>
                  <m:den>
                    <m:r>
                      <m:t xml:space="preserve">n</m:t>
                    </m:r>
                  </m:den>
                </m:f>
                <m:nary>
                  <m:naryPr>
                    <m:chr m:val="∑"/>
                  </m:naryPr>
                  <m:sub>
                    <m:r>
                      <m:t xml:space="preserve">i</m:t>
                    </m:r>
                    <m:r>
                      <m:rPr>
                        <m:lit/>
                        <m:nor/>
                      </m:rPr>
                      <m:t xml:space="preserve">=</m:t>
                    </m:r>
                    <m:r>
                      <m:t xml:space="preserve">1</m:t>
                    </m:r>
                  </m:sub>
                  <m:sup>
                    <m:r>
                      <m:t xml:space="preserve">n</m:t>
                    </m:r>
                  </m:sup>
                  <m:e>
                    <m:sSup>
                      <m:e>
                        <m:d>
                          <m:dPr>
                            <m:begChr m:val="("/>
                            <m:endChr m:val=")"/>
                          </m:dPr>
                          <m:e>
                            <m:sSub>
                              <m:e>
                                <m:r>
                                  <m:t xml:space="preserve">y</m:t>
                                </m:r>
                              </m:e>
                              <m:sub>
                                <m:r>
                                  <m:t xml:space="preserve">i</m:t>
                                </m:r>
                              </m:sub>
                            </m:sSub>
                            <m:r>
                              <m:rPr>
                                <m:lit/>
                                <m:nor/>
                              </m:rPr>
                              <m:t xml:space="preserve">-</m:t>
                            </m:r>
                            <m:acc>
                              <m:accPr>
                                <m:chr m:val="^"/>
                              </m:accPr>
                              <m:e>
                                <m:sSub>
                                  <m:e>
                                    <m:r>
                                      <m:t xml:space="preserve">y</m:t>
                                    </m:r>
                                  </m:e>
                                  <m:sub>
                                    <m:r>
                                      <m:t xml:space="preserve">i</m:t>
                                    </m:r>
                                  </m:sub>
                                </m:sSub>
                              </m:e>
                            </m:acc>
                          </m:e>
                        </m:d>
                      </m:e>
                      <m:sup>
                        <m:r>
                          <m:t xml:space="preserve">2</m:t>
                        </m:r>
                      </m:sup>
                    </m:sSup>
                  </m:e>
                </m:nary>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ListParagraph"/>
              <w:widowControl/>
              <w:numPr>
                <w:ilvl w:val="0"/>
                <w:numId w:val="1"/>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sSub>
                <m:e>
                  <m:r>
                    <m:t xml:space="preserve">y</m:t>
                  </m:r>
                </m:e>
                <m:sub>
                  <m:r>
                    <m:t xml:space="preserve">i</m:t>
                  </m:r>
                </m:sub>
              </m:sSub>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actual value for the </w:t>
            </w:r>
            <w:r>
              <w:rPr/>
            </w:r>
            <m:oMath xmlns:m="http://schemas.openxmlformats.org/officeDocument/2006/math">
              <m:r>
                <m:t xml:space="preserve">i</m:t>
              </m:r>
            </m:oMath>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1"/>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sSub>
                    <m:e>
                      <m:r>
                        <m:t xml:space="preserve">y</m:t>
                      </m:r>
                    </m:e>
                    <m:sub>
                      <m:r>
                        <m:t xml:space="preserve">i</m:t>
                      </m:r>
                    </m:sub>
                  </m:sSub>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predicted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1"/>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r>
                <m:t xml:space="preserve">n</m:t>
              </m:r>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are number of samples.</w:t>
            </w:r>
          </w:p>
        </w:tc>
      </w:tr>
      <w:tr>
        <w:trPr/>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Mean Absolute Error (MAE)</w:t>
            </w:r>
          </w:p>
        </w:tc>
        <w:tc>
          <w:tcPr>
            <w:tcW w:w="4675" w:type="dxa"/>
            <w:tcBorders/>
          </w:tcPr>
          <w:p>
            <w:pPr>
              <w:pStyle w:val="Normal"/>
              <w:widowControl/>
              <w:suppressAutoHyphens w:val="true"/>
              <w:spacing w:lineRule="auto" w:line="240" w:before="240" w:after="0"/>
              <w:jc w:val="start"/>
              <w:rPr>
                <w:rFonts w:ascii="Times New Roman" w:hAnsi="Times New Roman" w:cs="Times New Roman"/>
              </w:rPr>
            </w:pPr>
            <w:r>
              <w:rPr>
                <w:rFonts w:eastAsia="Cambria" w:cs="Times New Roman" w:ascii="Times New Roman" w:hAnsi="Times New Roman"/>
                <w:kern w:val="2"/>
                <w:sz w:val="24"/>
                <w:szCs w:val="24"/>
                <w:lang w:val="en-US" w:eastAsia="en-US" w:bidi="ar-SA"/>
              </w:rPr>
              <w:t>The Mean Absolute Error (MAE) is given by:</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r>
                  <m:rPr>
                    <m:lit/>
                    <m:nor/>
                  </m:rPr>
                  <m:t xml:space="preserve">MAE</m:t>
                </m:r>
                <m:r>
                  <m:rPr>
                    <m:lit/>
                    <m:nor/>
                  </m:rPr>
                  <m:t xml:space="preserve">=</m:t>
                </m:r>
                <m:f>
                  <m:num>
                    <m:r>
                      <m:t xml:space="preserve">1</m:t>
                    </m:r>
                  </m:num>
                  <m:den>
                    <m:r>
                      <m:t xml:space="preserve">n</m:t>
                    </m:r>
                  </m:den>
                </m:f>
                <m:nary>
                  <m:naryPr>
                    <m:chr m:val="∑"/>
                  </m:naryPr>
                  <m:sub>
                    <m:r>
                      <m:t xml:space="preserve">i</m:t>
                    </m:r>
                    <m:r>
                      <m:rPr>
                        <m:lit/>
                        <m:nor/>
                      </m:rPr>
                      <m:t xml:space="preserve">=</m:t>
                    </m:r>
                    <m:r>
                      <m:t xml:space="preserve">1</m:t>
                    </m:r>
                  </m:sub>
                  <m:sup>
                    <m:r>
                      <m:t xml:space="preserve">n</m:t>
                    </m:r>
                  </m:sup>
                  <m:e>
                    <m:d>
                      <m:dPr>
                        <m:begChr m:val="|"/>
                        <m:endChr m:val="|"/>
                      </m:dPr>
                      <m:e>
                        <m:sSub>
                          <m:e>
                            <m:r>
                              <m:t xml:space="preserve">y</m:t>
                            </m:r>
                          </m:e>
                          <m:sub>
                            <m:r>
                              <m:t xml:space="preserve">i</m:t>
                            </m:r>
                          </m:sub>
                        </m:sSub>
                        <m:r>
                          <m:rPr>
                            <m:lit/>
                            <m:nor/>
                          </m:rPr>
                          <m:t xml:space="preserve">-</m:t>
                        </m:r>
                        <m:acc>
                          <m:accPr>
                            <m:chr m:val="^"/>
                          </m:accPr>
                          <m:e>
                            <m:sSub>
                              <m:e>
                                <m:r>
                                  <m:t xml:space="preserve">y</m:t>
                                </m:r>
                              </m:e>
                              <m:sub>
                                <m:r>
                                  <m:t xml:space="preserve">i</m:t>
                                </m:r>
                              </m:sub>
                            </m:sSub>
                          </m:e>
                        </m:acc>
                      </m:e>
                    </m:d>
                  </m:e>
                </m:nary>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ListParagraph"/>
              <w:widowControl/>
              <w:numPr>
                <w:ilvl w:val="0"/>
                <w:numId w:val="2"/>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sSub>
                <m:e>
                  <m:r>
                    <m:t xml:space="preserve">y</m:t>
                  </m:r>
                </m:e>
                <m:sub>
                  <m:r>
                    <m:t xml:space="preserve">i</m:t>
                  </m:r>
                </m:sub>
              </m:sSub>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is actual value for the i-th sample.</w:t>
            </w:r>
          </w:p>
          <w:p>
            <w:pPr>
              <w:pStyle w:val="ListParagraph"/>
              <w:widowControl/>
              <w:numPr>
                <w:ilvl w:val="0"/>
                <w:numId w:val="2"/>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sSub>
                    <m:e>
                      <m:r>
                        <m:t xml:space="preserve">y</m:t>
                      </m:r>
                    </m:e>
                    <m:sub>
                      <m:r>
                        <m:t xml:space="preserve">i</m:t>
                      </m:r>
                    </m:sub>
                  </m:sSub>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predicted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2"/>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r>
                <m:t xml:space="preserve">n</m:t>
              </m:r>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are number of samples.</w:t>
            </w:r>
          </w:p>
        </w:tc>
      </w:tr>
      <w:tr>
        <w:trPr/>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Median Absolute</w:t>
            </w:r>
          </w:p>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Error (MedAE)</w:t>
            </w:r>
          </w:p>
        </w:tc>
        <w:tc>
          <w:tcPr>
            <w:tcW w:w="4675" w:type="dxa"/>
            <w:tcBorders/>
          </w:tcPr>
          <w:p>
            <w:pPr>
              <w:pStyle w:val="Normal"/>
              <w:widowControl/>
              <w:suppressAutoHyphens w:val="true"/>
              <w:spacing w:lineRule="auto" w:line="240" w:before="240" w:after="0"/>
              <w:jc w:val="start"/>
              <w:rPr>
                <w:rFonts w:ascii="Times New Roman" w:hAnsi="Times New Roman" w:cs="Times New Roman"/>
              </w:rPr>
            </w:pPr>
            <w:r>
              <w:rPr>
                <w:rFonts w:eastAsia="Cambria" w:cs="Times New Roman" w:ascii="Times New Roman" w:hAnsi="Times New Roman"/>
                <w:kern w:val="2"/>
                <w:sz w:val="24"/>
                <w:szCs w:val="24"/>
                <w:lang w:val="en-US" w:eastAsia="en-US" w:bidi="ar-SA"/>
              </w:rPr>
              <w:t>The Median Absolute Error (MedAE) is defined as:</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r>
                  <m:rPr>
                    <m:lit/>
                    <m:nor/>
                  </m:rPr>
                  <m:t xml:space="preserve">MedAE</m:t>
                </m:r>
                <m:r>
                  <m:rPr>
                    <m:lit/>
                    <m:nor/>
                  </m:rPr>
                  <m:t xml:space="preserve">=</m:t>
                </m:r>
                <m:r>
                  <m:rPr>
                    <m:lit/>
                    <m:nor/>
                  </m:rPr>
                  <m:t xml:space="preserve">median</m:t>
                </m:r>
                <m:d>
                  <m:dPr>
                    <m:begChr m:val="("/>
                    <m:endChr m:val=")"/>
                  </m:dPr>
                  <m:e>
                    <m:d>
                      <m:dPr>
                        <m:begChr m:val="|"/>
                        <m:endChr m:val="|"/>
                      </m:dPr>
                      <m:e>
                        <m:sSub>
                          <m:e>
                            <m:r>
                              <m:t xml:space="preserve">y</m:t>
                            </m:r>
                          </m:e>
                          <m:sub>
                            <m:r>
                              <m:t xml:space="preserve">i</m:t>
                            </m:r>
                          </m:sub>
                        </m:sSub>
                        <m:r>
                          <m:rPr>
                            <m:lit/>
                            <m:nor/>
                          </m:rPr>
                          <m:t xml:space="preserve">-</m:t>
                        </m:r>
                        <m:acc>
                          <m:accPr>
                            <m:chr m:val="^"/>
                          </m:accPr>
                          <m:e>
                            <m:sSub>
                              <m:e>
                                <m:r>
                                  <m:t xml:space="preserve">y</m:t>
                                </m:r>
                              </m:e>
                              <m:sub>
                                <m:r>
                                  <m:t xml:space="preserve">i</m:t>
                                </m:r>
                              </m:sub>
                            </m:sSub>
                          </m:e>
                        </m:acc>
                      </m:e>
                    </m:d>
                  </m:e>
                </m:d>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ListParagraph"/>
              <w:widowControl/>
              <w:numPr>
                <w:ilvl w:val="0"/>
                <w:numId w:val="3"/>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sSub>
                <m:e>
                  <m:r>
                    <m:t xml:space="preserve">y</m:t>
                  </m:r>
                </m:e>
                <m:sub>
                  <m:r>
                    <m:t xml:space="preserve">i</m:t>
                  </m:r>
                </m:sub>
              </m:sSub>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actual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3"/>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sSub>
                    <m:e>
                      <m:r>
                        <m:t xml:space="preserve">y</m:t>
                      </m:r>
                    </m:e>
                    <m:sub>
                      <m:r>
                        <m:t xml:space="preserve">i</m:t>
                      </m:r>
                    </m:sub>
                  </m:sSub>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predicted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tc>
      </w:tr>
      <w:tr>
        <w:trPr/>
        <w:tc>
          <w:tcPr>
            <w:tcW w:w="4675" w:type="dxa"/>
            <w:tcBorders/>
          </w:tcPr>
          <w:p>
            <w:pPr>
              <w:pStyle w:val="Normal"/>
              <w:widowControl/>
              <w:suppressAutoHyphens w:val="true"/>
              <w:spacing w:lineRule="auto" w:line="240" w:before="240" w:after="0"/>
              <w:jc w:val="center"/>
              <w:rPr>
                <w:rFonts w:ascii="Times New Roman" w:hAnsi="Times New Roman" w:eastAsia="" w:cs="Times New Roman" w:eastAsiaTheme="minorEastAsia"/>
              </w:rPr>
            </w:pPr>
            <w:r>
              <w:rPr>
                <w:rFonts w:eastAsia="Cambria" w:cs="Times New Roman" w:ascii="Times New Roman" w:hAnsi="Times New Roman"/>
                <w:kern w:val="2"/>
                <w:sz w:val="24"/>
                <w:szCs w:val="24"/>
                <w:lang w:val="en-US" w:eastAsia="en-US" w:bidi="ar-SA"/>
              </w:rPr>
              <w:t>R-squared (</w:t>
            </w:r>
            <w:r>
              <w:rPr/>
            </w:r>
            <m:oMath xmlns:m="http://schemas.openxmlformats.org/officeDocument/2006/math">
              <m:sSup>
                <m:e>
                  <m:r>
                    <m:t xml:space="preserve">R</m:t>
                  </m:r>
                </m:e>
                <m:sup>
                  <m:r>
                    <m:t xml:space="preserve">2</m:t>
                  </m:r>
                </m:sup>
              </m:sSup>
            </m:oMath>
            <w:r>
              <w:rPr>
                <w:rFonts w:eastAsia="Cambria" w:cs="Times New Roman" w:ascii="Times New Roman" w:hAnsi="Times New Roman"/>
                <w:kern w:val="2"/>
                <w:sz w:val="24"/>
                <w:szCs w:val="24"/>
                <w:lang w:val="en-US" w:eastAsia="en-US" w:bidi="ar-SA"/>
              </w:rPr>
              <w:t>)</w:t>
            </w:r>
          </w:p>
        </w:tc>
        <w:tc>
          <w:tcPr>
            <w:tcW w:w="4675" w:type="dxa"/>
            <w:tcBorders/>
          </w:tcPr>
          <w:p>
            <w:pPr>
              <w:pStyle w:val="Normal"/>
              <w:widowControl/>
              <w:suppressAutoHyphens w:val="true"/>
              <w:spacing w:lineRule="auto" w:line="240" w:before="240" w:after="0"/>
              <w:jc w:val="start"/>
              <w:rPr>
                <w:rFonts w:ascii="Times New Roman" w:hAnsi="Times New Roman" w:cs="Times New Roman"/>
              </w:rPr>
            </w:pPr>
            <w:r>
              <w:rPr>
                <w:rFonts w:eastAsia="Cambria" w:cs="Times New Roman" w:ascii="Times New Roman" w:hAnsi="Times New Roman"/>
                <w:kern w:val="2"/>
                <w:sz w:val="24"/>
                <w:szCs w:val="24"/>
                <w:lang w:val="en-US" w:eastAsia="en-US" w:bidi="ar-SA"/>
              </w:rPr>
              <w:t>The coefficient of determination (</w:t>
            </w:r>
            <w:r>
              <w:rPr/>
            </w:r>
            <m:oMath xmlns:m="http://schemas.openxmlformats.org/officeDocument/2006/math">
              <m:sSup>
                <m:e>
                  <m:r>
                    <m:t xml:space="preserve">R</m:t>
                  </m:r>
                </m:e>
                <m:sup>
                  <m:r>
                    <m:t xml:space="preserve">2</m:t>
                  </m:r>
                </m:sup>
              </m:sSup>
            </m:oMath>
            <w:r>
              <w:rPr>
                <w:rFonts w:eastAsia="Cambria" w:cs="Times New Roman" w:ascii="Times New Roman" w:hAnsi="Times New Roman"/>
                <w:kern w:val="2"/>
                <w:sz w:val="24"/>
                <w:szCs w:val="24"/>
                <w:lang w:val="en-US" w:eastAsia="en-US" w:bidi="ar-SA"/>
              </w:rPr>
              <w:t>) is computed as:</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sSup>
                  <m:e>
                    <m:r>
                      <m:t xml:space="preserve">R</m:t>
                    </m:r>
                  </m:e>
                  <m:sup>
                    <m:r>
                      <m:t xml:space="preserve">2</m:t>
                    </m:r>
                  </m:sup>
                </m:sSup>
                <m:r>
                  <m:rPr>
                    <m:lit/>
                    <m:nor/>
                  </m:rPr>
                  <m:t xml:space="preserve">=</m:t>
                </m:r>
                <m:r>
                  <m:t xml:space="preserve">1</m:t>
                </m:r>
                <m:r>
                  <m:rPr>
                    <m:lit/>
                    <m:nor/>
                  </m:rPr>
                  <m:t xml:space="preserve">-</m:t>
                </m:r>
                <m:f>
                  <m:num>
                    <m:nary>
                      <m:naryPr>
                        <m:chr m:val="∑"/>
                      </m:naryPr>
                      <m:sub>
                        <m:r>
                          <m:t xml:space="preserve">i</m:t>
                        </m:r>
                        <m:r>
                          <m:rPr>
                            <m:lit/>
                            <m:nor/>
                          </m:rPr>
                          <m:t xml:space="preserve">=</m:t>
                        </m:r>
                        <m:r>
                          <m:t xml:space="preserve">1</m:t>
                        </m:r>
                      </m:sub>
                      <m:sup>
                        <m:r>
                          <m:t xml:space="preserve">n</m:t>
                        </m:r>
                      </m:sup>
                      <m:e>
                        <m:sSup>
                          <m:e>
                            <m:d>
                              <m:dPr>
                                <m:begChr m:val="("/>
                                <m:endChr m:val=")"/>
                              </m:dPr>
                              <m:e>
                                <m:sSub>
                                  <m:e>
                                    <m:r>
                                      <m:t xml:space="preserve">y</m:t>
                                    </m:r>
                                  </m:e>
                                  <m:sub>
                                    <m:r>
                                      <m:t xml:space="preserve">i</m:t>
                                    </m:r>
                                  </m:sub>
                                </m:sSub>
                                <m:r>
                                  <m:rPr>
                                    <m:lit/>
                                    <m:nor/>
                                  </m:rPr>
                                  <m:t xml:space="preserve">-</m:t>
                                </m:r>
                                <m:acc>
                                  <m:accPr>
                                    <m:chr m:val="^"/>
                                  </m:accPr>
                                  <m:e>
                                    <m:sSub>
                                      <m:e>
                                        <m:r>
                                          <m:t xml:space="preserve">y</m:t>
                                        </m:r>
                                      </m:e>
                                      <m:sub>
                                        <m:r>
                                          <m:t xml:space="preserve">i</m:t>
                                        </m:r>
                                      </m:sub>
                                    </m:sSub>
                                  </m:e>
                                </m:acc>
                              </m:e>
                            </m:d>
                          </m:e>
                          <m:sup>
                            <m:r>
                              <m:t xml:space="preserve">2</m:t>
                            </m:r>
                          </m:sup>
                        </m:sSup>
                      </m:e>
                    </m:nary>
                  </m:num>
                  <m:den>
                    <m:nary>
                      <m:naryPr>
                        <m:chr m:val="∑"/>
                      </m:naryPr>
                      <m:sub>
                        <m:r>
                          <m:t xml:space="preserve">i</m:t>
                        </m:r>
                        <m:r>
                          <m:rPr>
                            <m:lit/>
                            <m:nor/>
                          </m:rPr>
                          <m:t xml:space="preserve">=</m:t>
                        </m:r>
                        <m:r>
                          <m:t xml:space="preserve">1</m:t>
                        </m:r>
                      </m:sub>
                      <m:sup>
                        <m:r>
                          <m:t xml:space="preserve">n</m:t>
                        </m:r>
                      </m:sup>
                      <m:e>
                        <m:sSup>
                          <m:e>
                            <m:d>
                              <m:dPr>
                                <m:begChr m:val="("/>
                                <m:endChr m:val=")"/>
                              </m:dPr>
                              <m:e>
                                <m:sSub>
                                  <m:e>
                                    <m:r>
                                      <m:t xml:space="preserve">y</m:t>
                                    </m:r>
                                  </m:e>
                                  <m:sub>
                                    <m:r>
                                      <m:t xml:space="preserve">i</m:t>
                                    </m:r>
                                  </m:sub>
                                </m:sSub>
                                <m:r>
                                  <m:rPr>
                                    <m:lit/>
                                    <m:nor/>
                                  </m:rPr>
                                  <m:t xml:space="preserve">-</m:t>
                                </m:r>
                                <m:bar>
                                  <m:barPr>
                                    <m:pos m:val="top"/>
                                  </m:barPr>
                                  <m:e>
                                    <m:r>
                                      <m:t xml:space="preserve">y</m:t>
                                    </m:r>
                                  </m:e>
                                </m:bar>
                              </m:e>
                            </m:d>
                          </m:e>
                          <m:sup>
                            <m:r>
                              <m:t xml:space="preserve">2</m:t>
                            </m:r>
                          </m:sup>
                        </m:sSup>
                      </m:e>
                    </m:nary>
                  </m:den>
                </m:f>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bar>
                  <m:barPr>
                    <m:pos m:val="top"/>
                  </m:barPr>
                  <m:e>
                    <m:r>
                      <m:t xml:space="preserve">y</m:t>
                    </m:r>
                  </m:e>
                </m:bar>
                <m:r>
                  <m:rPr>
                    <m:lit/>
                    <m:nor/>
                  </m:rPr>
                  <m:t xml:space="preserve">=</m:t>
                </m:r>
                <m:f>
                  <m:num>
                    <m:r>
                      <m:t xml:space="preserve">1</m:t>
                    </m:r>
                  </m:num>
                  <m:den>
                    <m:r>
                      <m:t xml:space="preserve">n</m:t>
                    </m:r>
                  </m:den>
                </m:f>
                <m:nary>
                  <m:naryPr>
                    <m:chr m:val="∑"/>
                  </m:naryPr>
                  <m:sub>
                    <m:r>
                      <m:t xml:space="preserve">i</m:t>
                    </m:r>
                    <m:r>
                      <m:rPr>
                        <m:lit/>
                        <m:nor/>
                      </m:rPr>
                      <m:t xml:space="preserve">=</m:t>
                    </m:r>
                    <m:r>
                      <m:t xml:space="preserve">1</m:t>
                    </m:r>
                  </m:sub>
                  <m:sup>
                    <m:r>
                      <m:t xml:space="preserve">n</m:t>
                    </m:r>
                  </m:sup>
                  <m:e>
                    <m:sSub>
                      <m:e>
                        <m:r>
                          <m:t xml:space="preserve">y</m:t>
                        </m:r>
                      </m:e>
                      <m:sub>
                        <m:r>
                          <m:t xml:space="preserve">i</m:t>
                        </m:r>
                      </m:sub>
                    </m:sSub>
                  </m:e>
                </m:nary>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ListParagraph"/>
              <w:widowControl/>
              <w:numPr>
                <w:ilvl w:val="0"/>
                <w:numId w:val="4"/>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sSub>
                <m:e>
                  <m:r>
                    <m:t xml:space="preserve">y</m:t>
                  </m:r>
                </m:e>
                <m:sub>
                  <m:r>
                    <m:t xml:space="preserve">i</m:t>
                  </m:r>
                </m:sub>
              </m:sSub>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actual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4"/>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sSub>
                    <m:e>
                      <m:r>
                        <m:t xml:space="preserve">y</m:t>
                      </m:r>
                    </m:e>
                    <m:sub>
                      <m:r>
                        <m:t xml:space="preserve">i</m:t>
                      </m:r>
                    </m:sub>
                  </m:sSub>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predicted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4"/>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r>
                    <m:t xml:space="preserve">y</m:t>
                  </m:r>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is mean of actual values.</w:t>
            </w:r>
          </w:p>
          <w:p>
            <w:pPr>
              <w:pStyle w:val="ListParagraph"/>
              <w:widowControl/>
              <w:numPr>
                <w:ilvl w:val="0"/>
                <w:numId w:val="4"/>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r>
                <m:t xml:space="preserve">n</m:t>
              </m:r>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are number of samples.</w:t>
            </w:r>
          </w:p>
        </w:tc>
      </w:tr>
    </w:tbl>
    <w:p>
      <w:pPr>
        <w:pStyle w:val="Normal"/>
        <w:spacing w:before="240" w:after="0"/>
        <w:rPr>
          <w:rFonts w:ascii="Times New Roman" w:hAnsi="Times New Roman" w:cs="Times New Roman"/>
        </w:rPr>
      </w:pPr>
      <w:r/>
      <w:r>
        <w:rPr>
          <w:rFonts w:cs="Times New Roman" w:ascii="Times New Roman" w:hAnsi="Times New Roman"/>
          <w:b/>
          <w:bCs/>
        </w:rPr>
        <w:t>Table 1:</w:t>
      </w:r>
      <w:r>
        <w:rPr>
          <w:rFonts w:cs="Times New Roman" w:ascii="Times New Roman" w:hAnsi="Times New Roman"/>
        </w:rPr>
        <w:t xml:space="preserve"> Evaluation metrics for regression model performance.</w:t>
      </w:r>
    </w:p>
    <w:p>
      <w:pPr>
        <w:pStyle w:val="Normal"/>
        <w:spacing w:before="240" w:after="0"/>
        <w:rPr>
          <w:rFonts w:ascii="Times New Roman" w:hAnsi="Times New Roman" w:cs="Times New Roman"/>
        </w:rPr>
      </w:pPr>
      <w:r>
        <w:rPr>
          <w:rFonts w:cs="Times New Roman" w:ascii="Times New Roman" w:hAnsi="Times New Roman"/>
        </w:rPr>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71"/>
        <w:gridCol w:w="2339"/>
        <w:gridCol w:w="1770"/>
        <w:gridCol w:w="1770"/>
        <w:gridCol w:w="1700"/>
      </w:tblGrid>
      <w:tr>
        <w:trPr/>
        <w:tc>
          <w:tcPr>
            <w:tcW w:w="1771"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Coumarin</w:t>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Cancer Type</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Weighted Median Time (hour)</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Weighted Median Dose (μM)</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Data Count</w:t>
            </w:r>
          </w:p>
        </w:tc>
      </w:tr>
      <w:tr>
        <w:trPr/>
        <w:tc>
          <w:tcPr>
            <w:tcW w:w="17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Esculetin</w:t>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Colon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73.47</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53</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Skin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65.31</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35</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Oral</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106.12</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32</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Prostate</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244.9</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30</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Pancreatic</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57.14</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27</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Gastric</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114.29</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21</w:t>
            </w:r>
          </w:p>
        </w:tc>
      </w:tr>
      <w:tr>
        <w:trPr/>
        <w:tc>
          <w:tcPr>
            <w:tcW w:w="17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Galbanic Acid</w:t>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Prostate</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244.9</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39</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Lung</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57.14</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31</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Colon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171.43</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Leukemia/Lymphoma</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253.06</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19</w:t>
            </w:r>
          </w:p>
        </w:tc>
      </w:tr>
      <w:tr>
        <w:trPr/>
        <w:tc>
          <w:tcPr>
            <w:tcW w:w="17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Umbelliprenin</w:t>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Colon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106.12</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50</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Leukemia/Lymphoma</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146.94</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34</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Lung</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97.96</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30</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Breast</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146.94</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28</w:t>
            </w:r>
          </w:p>
        </w:tc>
      </w:tr>
      <w:tr>
        <w:trPr/>
        <w:tc>
          <w:tcPr>
            <w:tcW w:w="17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Auraptene</w:t>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Prostate</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285.71</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42</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Breast</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171.43</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33</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Gastric</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48.98</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30</w:t>
            </w:r>
          </w:p>
        </w:tc>
      </w:tr>
      <w:tr>
        <w:trPr>
          <w:trHeight w:val="93" w:hRule="atLeast"/>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Leukemia/Lymphoma</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106.12</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25</w:t>
            </w:r>
          </w:p>
        </w:tc>
      </w:tr>
      <w:tr>
        <w:trPr/>
        <w:tc>
          <w:tcPr>
            <w:tcW w:w="17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39"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Colon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106.12</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25</w:t>
            </w:r>
          </w:p>
        </w:tc>
      </w:tr>
    </w:tbl>
    <w:p>
      <w:pPr>
        <w:pStyle w:val="Normal"/>
        <w:rPr>
          <w:rFonts w:ascii="Times New Roman" w:hAnsi="Times New Roman" w:cs="Times New Roman"/>
        </w:rPr>
      </w:pPr>
      <w:r>
        <w:rPr>
          <w:rFonts w:cs="Times New Roman" w:ascii="Times New Roman" w:hAnsi="Times New Roman"/>
        </w:rPr>
      </w:r>
    </w:p>
    <w:p>
      <w:pPr>
        <w:pStyle w:val="Normal"/>
        <w:spacing w:before="240" w:after="0"/>
        <w:rPr>
          <w:rFonts w:ascii="Times New Roman" w:hAnsi="Times New Roman" w:cs="Times New Roman"/>
        </w:rPr>
      </w:pPr>
      <w:r>
        <w:rPr>
          <w:rFonts w:cs="Times New Roman" w:ascii="Times New Roman" w:hAnsi="Times New Roman"/>
        </w:rPr>
        <w:t>Table 2: Weighted Median Time–Dose Estimates from Four ML Models Across Coumarins and Cancer Types</w:t>
      </w:r>
    </w:p>
    <w:p>
      <w:pPr>
        <w:pStyle w:val="Normal"/>
        <w:spacing w:before="240" w:after="0"/>
        <w:rPr>
          <w:rFonts w:ascii="Times New Roman" w:hAnsi="Times New Roman" w:cs="Times New Roman"/>
        </w:rPr>
      </w:pPr>
      <w:r>
        <w:rPr>
          <w:rFonts w:cs="Times New Roman" w:ascii="Times New Roman" w:hAnsi="Times New Roman"/>
        </w:rPr>
      </w:r>
    </w:p>
    <w:tbl>
      <w:tblPr>
        <w:tblStyle w:val="TableGrid"/>
        <w:tblW w:w="90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504"/>
        <w:gridCol w:w="3271"/>
        <w:gridCol w:w="973"/>
        <w:gridCol w:w="1196"/>
        <w:gridCol w:w="1201"/>
        <w:gridCol w:w="873"/>
      </w:tblGrid>
      <w:tr>
        <w:trPr/>
        <w:tc>
          <w:tcPr>
            <w:tcW w:w="1504"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Coumarin</w:t>
            </w:r>
          </w:p>
        </w:tc>
        <w:tc>
          <w:tcPr>
            <w:tcW w:w="3271"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ML Model</w:t>
            </w:r>
          </w:p>
        </w:tc>
        <w:tc>
          <w:tcPr>
            <w:tcW w:w="973"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Metric</w:t>
            </w:r>
          </w:p>
        </w:tc>
        <w:tc>
          <w:tcPr>
            <w:tcW w:w="1196"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Cross Validation</w:t>
            </w:r>
          </w:p>
        </w:tc>
        <w:tc>
          <w:tcPr>
            <w:tcW w:w="1201"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Cross Validation SD</w:t>
            </w:r>
          </w:p>
        </w:tc>
        <w:tc>
          <w:tcPr>
            <w:tcW w:w="873"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Train</w:t>
            </w:r>
          </w:p>
        </w:tc>
      </w:tr>
      <w:tr>
        <w:trPr/>
        <w:tc>
          <w:tcPr>
            <w:tcW w:w="1504" w:type="dxa"/>
            <w:vMerge w:val="restart"/>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Esculetin</w:t>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HistGradientBoostingRegressor</w:t>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230.72</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103.13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112.42</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10.93</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1.64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7.89</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7.73</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5.67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VotingRegressor</w:t>
              <w:br/>
              <w:t>(CatBoost, XGBoost, and LGBM)</w:t>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207.99</w:t>
            </w:r>
          </w:p>
        </w:tc>
        <w:tc>
          <w:tcPr>
            <w:tcW w:w="1201"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113.37</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76.91</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10.18</w:t>
            </w:r>
          </w:p>
        </w:tc>
        <w:tc>
          <w:tcPr>
            <w:tcW w:w="1201"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1.93</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6.44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7.85</w:t>
            </w:r>
          </w:p>
        </w:tc>
        <w:tc>
          <w:tcPr>
            <w:tcW w:w="1201"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1.69</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4.46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0.64</w:t>
            </w:r>
          </w:p>
        </w:tc>
        <w:tc>
          <w:tcPr>
            <w:tcW w:w="1201"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0.13</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0.86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CatBoostRegressor</w:t>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208.1</w:t>
            </w:r>
          </w:p>
        </w:tc>
        <w:tc>
          <w:tcPr>
            <w:tcW w:w="1201"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134.55</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70.76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10.07</w:t>
            </w:r>
          </w:p>
        </w:tc>
        <w:tc>
          <w:tcPr>
            <w:tcW w:w="1201"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2.35</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6.02</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7.62</w:t>
            </w:r>
          </w:p>
        </w:tc>
        <w:tc>
          <w:tcPr>
            <w:tcW w:w="1201"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1.64</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3.78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0.65</w:t>
            </w:r>
          </w:p>
        </w:tc>
        <w:tc>
          <w:tcPr>
            <w:tcW w:w="1201"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0.16</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0.87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RF</w:t>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215.17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86.18</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126.36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10.85</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2.21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8.34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8.25</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1.51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6.38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0.62</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0.77</w:t>
            </w:r>
          </w:p>
        </w:tc>
      </w:tr>
      <w:tr>
        <w:trPr/>
        <w:tc>
          <w:tcPr>
            <w:tcW w:w="1504" w:type="dxa"/>
            <w:vMerge w:val="restart"/>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Galbanic acid</w:t>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HistGradientBoostingRegressor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417.36</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159.86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254.86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14.93</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3.53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11.83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12.29</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5.12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9.18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0.45</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VotingRegressor</w:t>
              <w:br/>
              <w:t>(CatBoost, XGBoost, and LGBM)</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363.13</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132.65</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99.83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14.06</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2.53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11.31</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2.31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5.48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0.51</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CatBoostRegressor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371.33</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97.15</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81.66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14.19</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6.38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11.27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1.92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4.43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0.5</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0.9</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RF</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393.27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75.14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213.26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15.38</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2.17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11.15</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12.79</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3.74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7.87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0.48</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0.73</w:t>
            </w:r>
          </w:p>
        </w:tc>
      </w:tr>
      <w:tr>
        <w:trPr/>
        <w:tc>
          <w:tcPr>
            <w:tcW w:w="1504" w:type="dxa"/>
            <w:vMerge w:val="restart"/>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Umblliprenin</w:t>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HistGradientBoostingRegressor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182.27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20.5</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113.36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9.99</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7.32</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1.93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5.58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0.79</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0.04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VotingRegressor</w:t>
              <w:br/>
              <w:t>(CatBoost, XGBoost, and LGBM)</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189.51</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40.14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40.83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9.87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4.58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6.69</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1.89</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3.83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0.78</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0.06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0.96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CatBoostRegressor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224.91</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54.07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40.86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10.74</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4.44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7.83</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2.34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3.01</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0.75</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0.06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0.96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RF</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264.06</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45.31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115.58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12.6</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0.97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8.05</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9.62</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6.69</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0.05</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0.87</w:t>
            </w:r>
          </w:p>
        </w:tc>
      </w:tr>
      <w:tr>
        <w:trPr/>
        <w:tc>
          <w:tcPr>
            <w:tcW w:w="1504" w:type="dxa"/>
            <w:vMerge w:val="restart"/>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Auraptene</w:t>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HistGradientBoostingRegressor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339.44</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27.86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214.3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13.88</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11.11</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10.8</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2.02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8.41</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0.35</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0.62</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VotingRegressor</w:t>
              <w:br/>
              <w:t>(CatBoost, XGBoost, and LGBM)</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345.97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35.23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142.07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13.07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8.19</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8.6</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1.74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5.03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0.33</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0.75</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CatBoostRegressor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370.08</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62.84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135.17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13.26</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1.51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7.77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8.47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2.36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4.17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RF</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328.21</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17.66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186.37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13.2</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9.85</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9.4</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0.47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6.94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6"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0.37</w:t>
            </w:r>
          </w:p>
        </w:tc>
        <w:tc>
          <w:tcPr>
            <w:tcW w:w="1201"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0.67</w:t>
            </w:r>
          </w:p>
        </w:tc>
      </w:tr>
    </w:tbl>
    <w:p>
      <w:pPr>
        <w:pStyle w:val="Normal"/>
        <w:jc w:val="center"/>
        <w:rPr>
          <w:rFonts w:ascii="Times New Roman" w:hAnsi="Times New Roman" w:cs="Times New Roman"/>
        </w:rPr>
      </w:pPr>
      <w:r>
        <w:rPr>
          <w:rFonts w:cs="Times New Roman" w:ascii="Times New Roman" w:hAnsi="Times New Roman"/>
        </w:rPr>
      </w:r>
    </w:p>
    <w:p>
      <w:pPr>
        <w:pStyle w:val="Normal"/>
        <w:spacing w:before="240" w:after="0"/>
        <w:rPr>
          <w:rFonts w:ascii="Times New Roman" w:hAnsi="Times New Roman" w:cs="Times New Roman"/>
        </w:rPr>
      </w:pPr>
      <w:r>
        <w:rPr>
          <w:rFonts w:cs="Times New Roman" w:ascii="Times New Roman" w:hAnsi="Times New Roman"/>
        </w:rPr>
        <w:t>Table 3: Model Performance Metrics by Coumarin and Machine-Learning Models</w:t>
      </w:r>
    </w:p>
    <w:p>
      <w:pPr>
        <w:pStyle w:val="Normal"/>
        <w:spacing w:before="240" w:after="0"/>
        <w:jc w:val="both"/>
        <w:rPr>
          <w:rFonts w:ascii="Times New Roman" w:hAnsi="Times New Roman" w:cs="Times New Roman"/>
          <w:b/>
        </w:rPr>
      </w:pPr>
      <w:r>
        <w:rPr>
          <w:rFonts w:cs="Times New Roman" w:ascii="Times New Roman" w:hAnsi="Times New Roman"/>
          <w:b/>
        </w:rPr>
        <w:t>Figure Legends</w:t>
      </w:r>
    </w:p>
    <w:p>
      <w:pPr>
        <w:pStyle w:val="Normal"/>
        <w:spacing w:before="240" w:after="0"/>
        <w:jc w:val="both"/>
        <w:rPr>
          <w:rFonts w:ascii="Times New Roman" w:hAnsi="Times New Roman" w:cs="Times New Roman"/>
          <w:bCs/>
          <w:color w:val="FF0000"/>
        </w:rPr>
      </w:pPr>
      <w:r>
        <w:rPr>
          <w:rFonts w:cs="Times New Roman" w:ascii="Times New Roman" w:hAnsi="Times New Roman"/>
          <w:b/>
          <w:color w:val="FF0000"/>
        </w:rPr>
        <w:t>Figure 1:</w:t>
      </w:r>
      <w:r>
        <w:rPr>
          <w:rFonts w:cs="Times New Roman" w:ascii="Times New Roman" w:hAnsi="Times New Roman"/>
          <w:bCs/>
          <w:color w:val="FF0000"/>
        </w:rPr>
        <w:t xml:space="preserve"> Chemical structures of coumarin derivatives: Scopoletin (a), esculetin (b), galbanic acid (c), umbelliprenin (d), and auraptene (e). The selected compounds (a, b, c, d, and e) share structural similarities, including hydroxylation patterns and side chains, making them ideal for studying their effects on cancer cell viability and optimizing dose and time predictions in machine learning models.  PubChem provides all of the structures.</w:t>
      </w:r>
    </w:p>
    <w:p>
      <w:pPr>
        <w:pStyle w:val="Normal"/>
        <w:spacing w:before="240" w:after="0"/>
        <w:jc w:val="both"/>
        <w:rPr>
          <w:rFonts w:ascii="Times New Roman" w:hAnsi="Times New Roman" w:cs="Times New Roman"/>
          <w:b/>
          <w:color w:val="00B050"/>
        </w:rPr>
      </w:pPr>
      <w:r>
        <w:rPr>
          <w:rStyle w:val="Strong"/>
          <w:rFonts w:cs="Times New Roman" w:ascii="Times New Roman" w:hAnsi="Times New Roman"/>
          <w:color w:val="00B050"/>
        </w:rPr>
        <w:t>Figure 2.</w:t>
      </w:r>
      <w:r>
        <w:rPr>
          <w:rFonts w:cs="Times New Roman" w:ascii="Times New Roman" w:hAnsi="Times New Roman"/>
          <w:color w:val="00B050"/>
        </w:rPr>
        <w:t xml:space="preserve"> Overview of the machine-learning pipeline used to identify the optimal coumarin dose and exposure time required to achieve approximately 50% cell viability. The workflow begins with loading and cleaning the dataset, followed by filtering to retain only doses ≤ 400 µM and compound-specific time points (Auraptene: 24, 48, 72, 96 h; Esculetin, Umbelliprenin, Galbanic Acid: 24, 48, 72 h). Cancer types are encoded using LabelEncoder, after which the analysis iterates over each coumarin type separately. Prediction reliability is evaluated using a Gaussian Mixture Model (GMM). four machine-learning models are then trained with five-fold cross-validation, and their predictions for viability are generated across all candidate dose–time combinations. These outputs are integrated using a Weighted Median approach to obtain robust estimates of the dose and time that most closely achieve 50% viability. The final recommended parameters for each cancer type conclude the pipeline.</w:t>
      </w:r>
    </w:p>
    <w:p>
      <w:pPr>
        <w:pStyle w:val="Normal"/>
        <w:spacing w:before="240" w:after="0"/>
        <w:jc w:val="both"/>
        <w:rPr>
          <w:rFonts w:ascii="Times New Roman" w:hAnsi="Times New Roman" w:cs="Times New Roman"/>
          <w:bCs/>
          <w:color w:val="00B050"/>
        </w:rPr>
      </w:pPr>
      <w:r>
        <w:rPr>
          <w:rFonts w:cs="Times New Roman" w:ascii="Times New Roman" w:hAnsi="Times New Roman"/>
          <w:b/>
          <w:color w:val="00B050"/>
        </w:rPr>
        <w:t>Figure 3:</w:t>
      </w:r>
      <w:r>
        <w:rPr>
          <w:rFonts w:cs="Times New Roman" w:ascii="Times New Roman" w:hAnsi="Times New Roman"/>
          <w:bCs/>
          <w:color w:val="00B050"/>
        </w:rPr>
        <w:t xml:space="preserve"> Coumarin constituents treemap (a); This visual analysis illustrates the distribution of coumarin types within the dataset. The area of each block corresponds to the relative frequency, highlighting Esculetin at 34.4% as the most abundant, followed by Umbelliprenin at 26.1%. Other significant coumarins include Auraptene (21.2%), and Galbanic Acid (18.3%). Treemap visualization of cancer types (b); This treemap illustrates the relative prevalence of various cancer types within the dataset, ordered from highest to lowest frequency: Colon (19.6%), Prostate (13.6%), Breast</w:t>
      </w:r>
      <w:r>
        <w:rPr>
          <w:rFonts w:cs="Times New Roman" w:ascii="Times New Roman" w:hAnsi="Times New Roman"/>
          <w:color w:val="00B050"/>
        </w:rPr>
        <w:t xml:space="preserve"> </w:t>
      </w:r>
      <w:r>
        <w:rPr>
          <w:rFonts w:cs="Times New Roman" w:ascii="Times New Roman" w:hAnsi="Times New Roman"/>
          <w:bCs/>
          <w:color w:val="00B050"/>
        </w:rPr>
        <w:t>(11.2%), Lung</w:t>
      </w:r>
      <w:r>
        <w:rPr>
          <w:rFonts w:cs="Times New Roman" w:ascii="Times New Roman" w:hAnsi="Times New Roman"/>
          <w:color w:val="00B050"/>
        </w:rPr>
        <w:t xml:space="preserve"> </w:t>
      </w:r>
      <w:r>
        <w:rPr>
          <w:rFonts w:cs="Times New Roman" w:ascii="Times New Roman" w:hAnsi="Times New Roman"/>
          <w:bCs/>
          <w:color w:val="00B050"/>
        </w:rPr>
        <w:t>(10.8%), Leukemia/Lymphoma</w:t>
      </w:r>
      <w:r>
        <w:rPr>
          <w:rFonts w:cs="Times New Roman" w:ascii="Times New Roman" w:hAnsi="Times New Roman"/>
          <w:color w:val="00B050"/>
        </w:rPr>
        <w:t xml:space="preserve"> </w:t>
      </w:r>
      <w:r>
        <w:rPr>
          <w:rFonts w:cs="Times New Roman" w:ascii="Times New Roman" w:hAnsi="Times New Roman"/>
          <w:bCs/>
          <w:color w:val="00B050"/>
        </w:rPr>
        <w:t>(9.8%), Gastric</w:t>
      </w:r>
      <w:r>
        <w:rPr>
          <w:rFonts w:cs="Times New Roman" w:ascii="Times New Roman" w:hAnsi="Times New Roman"/>
          <w:color w:val="00B050"/>
        </w:rPr>
        <w:t xml:space="preserve"> </w:t>
      </w:r>
      <w:r>
        <w:rPr>
          <w:rFonts w:cs="Times New Roman" w:ascii="Times New Roman" w:hAnsi="Times New Roman"/>
          <w:bCs/>
          <w:color w:val="00B050"/>
        </w:rPr>
        <w:t>(8.6%), Pancreatic</w:t>
      </w:r>
      <w:r>
        <w:rPr>
          <w:rFonts w:cs="Times New Roman" w:ascii="Times New Roman" w:hAnsi="Times New Roman"/>
          <w:color w:val="00B050"/>
        </w:rPr>
        <w:t xml:space="preserve"> </w:t>
      </w:r>
      <w:r>
        <w:rPr>
          <w:rFonts w:cs="Times New Roman" w:ascii="Times New Roman" w:hAnsi="Times New Roman"/>
          <w:bCs/>
          <w:color w:val="00B050"/>
        </w:rPr>
        <w:t>(6.6%), Skin (4.5%), Oral (4.1), Glioma (2.6), Ovarian (2.5), Cholangiocarcinoma</w:t>
      </w:r>
      <w:r>
        <w:rPr>
          <w:rFonts w:cs="Times New Roman" w:ascii="Times New Roman" w:hAnsi="Times New Roman"/>
          <w:color w:val="00B050"/>
        </w:rPr>
        <w:t xml:space="preserve"> </w:t>
      </w:r>
      <w:r>
        <w:rPr>
          <w:rFonts w:cs="Times New Roman" w:ascii="Times New Roman" w:hAnsi="Times New Roman"/>
          <w:bCs/>
          <w:color w:val="00B050"/>
        </w:rPr>
        <w:t>(1.5%), Bone (1.5), Renal (1.4), Salivary Gland (0.8), Cervical (0.8), and Liver (0.3). Each block's size represents the relative frequency, offering a visual comparison of cancer type distribution.</w:t>
      </w:r>
    </w:p>
    <w:p>
      <w:pPr>
        <w:pStyle w:val="Normal"/>
        <w:spacing w:before="240" w:after="0"/>
        <w:jc w:val="both"/>
        <w:rPr>
          <w:rFonts w:ascii="Times New Roman" w:hAnsi="Times New Roman" w:cs="Times New Roman"/>
          <w:b/>
          <w:color w:val="00B050"/>
        </w:rPr>
      </w:pPr>
      <w:r>
        <w:rPr>
          <w:rFonts w:cs="Times New Roman" w:ascii="Times New Roman" w:hAnsi="Times New Roman"/>
          <w:color w:val="00B050"/>
        </w:rPr>
        <w:t>Figure 4. Feature importance plots for each coumarin and machine learning model. Subplots are labeled a–p. The first row (a–d) shows HistGradientBoostingRegressor results, the second row (e–h) shows VotingRegressor, the third row (i–l) shows CatBoostRegressor, and the fourth row (m–p) shows RandomForestRegressor. Columns correspond to different coumarins: first column (a, e, i, m) is Esculetin, second column (b, f, j, n) is Galbanic Acid, third column (c, g, k, o) is Umbelliprenin, and fourth column (d, h, l, p) is Auraptene. As can be observed, Dose consistently exhibits the highest importance across models, Cancer Type typically ranks second, and Time generally contributes least to the predictions.</w:t>
      </w:r>
      <w:r>
        <w:rPr>
          <w:rFonts w:cs="Times New Roman" w:ascii="Times New Roman" w:hAnsi="Times New Roman"/>
          <w:b/>
          <w:color w:val="00B050"/>
        </w:rPr>
        <w:t xml:space="preserve"> </w:t>
      </w:r>
    </w:p>
    <w:p>
      <w:pPr>
        <w:pStyle w:val="Normal"/>
        <w:spacing w:before="240" w:after="0"/>
        <w:jc w:val="both"/>
        <w:rPr>
          <w:rFonts w:ascii="Times New Roman" w:hAnsi="Times New Roman" w:cs="Times New Roman"/>
          <w:bCs/>
          <w:color w:val="00B050"/>
        </w:rPr>
      </w:pPr>
      <w:r>
        <w:rPr>
          <w:rFonts w:cs="Times New Roman" w:ascii="Times New Roman" w:hAnsi="Times New Roman"/>
          <w:b/>
          <w:color w:val="00B050"/>
        </w:rPr>
        <w:t>Figure 5:</w:t>
      </w:r>
      <w:r>
        <w:rPr>
          <w:rFonts w:cs="Times New Roman" w:ascii="Times New Roman" w:hAnsi="Times New Roman"/>
          <w:bCs/>
          <w:color w:val="00B050"/>
        </w:rPr>
        <w:t xml:space="preserve"> Dose-response and time-dependent analysis of coumarins on cell viability. Panels (a-d) present dose-response curves for each coumarin at different time points, with dose (μM) plotted against cell viability (%). The four coumarins analyzed are: (a) esculetin, (b) galbanic acid, (c) umbelliprenin and (d)</w:t>
      </w:r>
      <w:r>
        <w:rPr>
          <w:rFonts w:cs="Times New Roman" w:ascii="Times New Roman" w:hAnsi="Times New Roman"/>
          <w:color w:val="00B050"/>
        </w:rPr>
        <w:t xml:space="preserve"> </w:t>
      </w:r>
      <w:r>
        <w:rPr>
          <w:rFonts w:cs="Times New Roman" w:ascii="Times New Roman" w:hAnsi="Times New Roman"/>
          <w:bCs/>
          <w:color w:val="00B050"/>
        </w:rPr>
        <w:t>auraptene. A color gradient indicates time points in h, with warmer colors representing shorter durations. The black dashed line marks 50% cell viability (Viability 50).</w:t>
      </w:r>
    </w:p>
    <w:p>
      <w:pPr>
        <w:pStyle w:val="Normal"/>
        <w:spacing w:before="240" w:after="0"/>
        <w:jc w:val="both"/>
        <w:rPr>
          <w:rFonts w:ascii="Times New Roman" w:hAnsi="Times New Roman" w:cs="Times New Roman"/>
          <w:bCs/>
          <w:color w:val="00B050"/>
        </w:rPr>
      </w:pPr>
      <w:r>
        <w:rPr>
          <w:rFonts w:cs="Times New Roman" w:ascii="Times New Roman" w:hAnsi="Times New Roman"/>
          <w:b/>
          <w:color w:val="00B050"/>
        </w:rPr>
        <w:t>Figure 6:</w:t>
      </w:r>
      <w:r>
        <w:rPr>
          <w:rFonts w:cs="Times New Roman" w:ascii="Times New Roman" w:hAnsi="Times New Roman"/>
          <w:bCs/>
          <w:color w:val="00B050"/>
        </w:rPr>
        <w:t xml:space="preserve"> Panels depict time-dependent dose-response analysis for each coumarin, showing the relationship between dose (μM) and cell viability (%) over 24 h (a, d, g, j), 48 h (b, e, h, k), and 72 h (c, f, i, l). Black dots repre</w:t>
      </w:r>
      <w:r>
        <w:rPr>
          <w:rFonts w:cs="Times New Roman" w:ascii="Times New Roman" w:hAnsi="Times New Roman"/>
          <w:bCs/>
          <w:color w:val="00B050"/>
          <w:lang w:val="en-US" w:bidi="fa-IR"/>
        </w:rPr>
        <w:t xml:space="preserve"> </w:t>
      </w:r>
      <w:r>
        <w:rPr>
          <w:rFonts w:cs="Times New Roman" w:ascii="Times New Roman" w:hAnsi="Times New Roman"/>
          <w:bCs/>
          <w:color w:val="00B050"/>
        </w:rPr>
        <w:t>sent experimental data, and curves depict fitted models (Exponential Decay, Logarithmic Decay, Inverse Function, Linear Regression, Huber Regression, Theil-Sen Estimator, Quantile Regression). The dashed horizontal gray line indicates 50% cell viability.</w:t>
      </w:r>
    </w:p>
    <w:p>
      <w:pPr>
        <w:pStyle w:val="NormalWeb"/>
        <w:spacing w:before="280" w:after="280"/>
        <w:rPr>
          <w:color w:val="00B050"/>
        </w:rPr>
      </w:pPr>
      <w:r>
        <w:rPr>
          <w:b/>
          <w:color w:val="00B050"/>
        </w:rPr>
        <w:t>Figure 7:</w:t>
      </w:r>
      <w:r>
        <w:rPr>
          <w:bCs/>
          <w:color w:val="00B050"/>
        </w:rPr>
        <w:t xml:space="preserve"> </w:t>
      </w:r>
      <w:r>
        <w:rPr>
          <w:color w:val="00B050"/>
        </w:rPr>
        <w:t>Scatter plots illustrating the best dose and best time required to reach 50% viability for each machine-learning model, along with the Weighted Median point. Panels a–f correspond to Esculetin, g–j to Galbanic Acid, k–n to Umbelliprenin, and o–s to Auraptene. Each marker represents the optimal prediction generated by an individual ML model (SVR, HistGradientBoostingRegressor, LGBM, ElasticNet, VotingRegressor, GradientBoostingRegressor, CatBoostRegressor, RandomForest, GaussianProcessRegressor, XGBoost), enabling comparison of dose–time efficacy patterns across compounds and cancer types.</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610a09"/>
    <w:rPr>
      <w:sz w:val="16"/>
      <w:szCs w:val="16"/>
    </w:rPr>
  </w:style>
  <w:style w:type="character" w:styleId="CommentTextChar" w:customStyle="1">
    <w:name w:val="Comment Text Char"/>
    <w:basedOn w:val="DefaultParagraphFont"/>
    <w:link w:val="CommentText"/>
    <w:uiPriority w:val="99"/>
    <w:semiHidden/>
    <w:qFormat/>
    <w:rsid w:val="00610a09"/>
    <w:rPr>
      <w:sz w:val="20"/>
      <w:szCs w:val="20"/>
    </w:rPr>
  </w:style>
  <w:style w:type="character" w:styleId="CommentSubjectChar" w:customStyle="1">
    <w:name w:val="Comment Subject Char"/>
    <w:basedOn w:val="CommentTextChar"/>
    <w:link w:val="annotationsubject"/>
    <w:uiPriority w:val="99"/>
    <w:semiHidden/>
    <w:qFormat/>
    <w:rsid w:val="00610a09"/>
    <w:rPr>
      <w:b/>
      <w:bCs/>
      <w:sz w:val="20"/>
      <w:szCs w:val="20"/>
    </w:rPr>
  </w:style>
  <w:style w:type="character" w:styleId="PlaceholderText">
    <w:name w:val="Placeholder Text"/>
    <w:basedOn w:val="DefaultParagraphFont"/>
    <w:uiPriority w:val="99"/>
    <w:semiHidden/>
    <w:qFormat/>
    <w:rsid w:val="00c60d64"/>
    <w:rPr>
      <w:color w:val="808080"/>
    </w:rPr>
  </w:style>
  <w:style w:type="character" w:styleId="Hyperlink">
    <w:name w:val="Hyperlink"/>
    <w:basedOn w:val="DefaultParagraphFont"/>
    <w:uiPriority w:val="99"/>
    <w:unhideWhenUsed/>
    <w:rsid w:val="00477577"/>
    <w:rPr>
      <w:color w:themeColor="hyperlink" w:val="0000FF"/>
      <w:u w:val="single"/>
    </w:rPr>
  </w:style>
  <w:style w:type="character" w:styleId="Strong">
    <w:name w:val="Strong"/>
    <w:basedOn w:val="DefaultParagraphFont"/>
    <w:uiPriority w:val="22"/>
    <w:qFormat/>
    <w:rsid w:val="00bb12da"/>
    <w:rPr>
      <w:b/>
      <w:bCs/>
    </w:rPr>
  </w:style>
  <w:style w:type="character" w:styleId="UnresolvedMention">
    <w:name w:val="Unresolved Mention"/>
    <w:basedOn w:val="DefaultParagraphFont"/>
    <w:uiPriority w:val="99"/>
    <w:semiHidden/>
    <w:unhideWhenUsed/>
    <w:qFormat/>
    <w:rsid w:val="00072a9c"/>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2b396d"/>
    <w:pPr>
      <w:spacing w:before="0" w:after="0"/>
      <w:ind w:start="720"/>
      <w:contextualSpacing/>
    </w:pPr>
    <w:rPr/>
  </w:style>
  <w:style w:type="paragraph" w:styleId="Bibliography">
    <w:name w:val="Bibliography"/>
    <w:basedOn w:val="Normal"/>
    <w:next w:val="Normal"/>
    <w:uiPriority w:val="37"/>
    <w:unhideWhenUsed/>
    <w:qFormat/>
    <w:rsid w:val="00544923"/>
    <w:pPr>
      <w:tabs>
        <w:tab w:val="clear" w:pos="720"/>
        <w:tab w:val="left" w:pos="380" w:leader="none"/>
      </w:tabs>
      <w:spacing w:lineRule="auto" w:line="480"/>
      <w:ind w:hanging="384" w:start="384"/>
    </w:pPr>
    <w:rPr/>
  </w:style>
  <w:style w:type="paragraph" w:styleId="CommentText">
    <w:name w:val="annotation text"/>
    <w:basedOn w:val="Normal"/>
    <w:link w:val="CommentTextChar"/>
    <w:uiPriority w:val="99"/>
    <w:semiHidden/>
    <w:unhideWhenUsed/>
    <w:rsid w:val="00610a09"/>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610a09"/>
    <w:pPr/>
    <w:rPr>
      <w:b/>
      <w:bCs/>
    </w:rPr>
  </w:style>
  <w:style w:type="paragraph" w:styleId="NormalWeb">
    <w:name w:val="Normal (Web)"/>
    <w:basedOn w:val="Normal"/>
    <w:uiPriority w:val="99"/>
    <w:unhideWhenUsed/>
    <w:qFormat/>
    <w:rsid w:val="004c1fc5"/>
    <w:pPr>
      <w:spacing w:lineRule="auto" w:line="240" w:beforeAutospacing="1" w:afterAutospacing="1"/>
    </w:pPr>
    <w:rPr>
      <w:rFonts w:ascii="Times New Roman" w:hAnsi="Times New Roman" w:eastAsia="Times New Roman" w:cs="Times New Roman"/>
      <w:sz w:val="24"/>
      <w:szCs w:val="24"/>
      <w:lang w:val="en-U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c1e35"/>
    <w:pPr>
      <w:spacing w:line="240" w:lineRule="auto"/>
    </w:pPr>
    <w:rPr>
      <w:rFonts w:asciiTheme="minorHAnsi" w:hAnsiTheme="minorHAnsi" w:eastAsiaTheme="minorHAnsi" w:cstheme="minorBidi"/>
      <w:lang w:val="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adra1381am/Enhancing-Coumarin-Therapeutics-in-Oncology-Machine-Learning-Guided-Dose-Time-Optimizatio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194</TotalTime>
  <Application>LibreOffice/25.8.2.2$Linux_X86_64 LibreOffice_project/580$Build-2</Application>
  <AppVersion>15.0000</AppVersion>
  <Pages>24</Pages>
  <Words>7830</Words>
  <Characters>46686</Characters>
  <CharactersWithSpaces>53885</CharactersWithSpaces>
  <Paragraphs>573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2025-10-26T07:11:00Z</dcterms:created>
  <dc:creator>Daniel and Dian</dc:creator>
  <dc:description/>
  <dc:language>en-US</dc:language>
  <cp:lastModifiedBy/>
  <cp:lastPrinted>2024-12-26T21:38:00Z</cp:lastPrinted>
  <dcterms:modified xsi:type="dcterms:W3CDTF">2025-12-10T09:27:41Z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id="qAur6GU6"/&gt;&lt;style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